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08" w:rsidRDefault="00211908" w:rsidP="00211908">
      <w:pPr>
        <w:pStyle w:val="Title"/>
        <w:jc w:val="center"/>
      </w:pPr>
    </w:p>
    <w:p w:rsidR="00211908" w:rsidRPr="00211908" w:rsidRDefault="00211908" w:rsidP="00211908">
      <w:pPr>
        <w:pStyle w:val="Title"/>
        <w:jc w:val="center"/>
      </w:pPr>
      <w:r>
        <w:t xml:space="preserve">PALLIATIVE / COMFORT CARE </w:t>
      </w:r>
      <w:r w:rsidRPr="00211908">
        <w:t>C</w:t>
      </w:r>
      <w:r>
        <w:t>HECKLIST</w:t>
      </w:r>
    </w:p>
    <w:p w:rsidR="00211908" w:rsidRDefault="00211908" w:rsidP="00211908">
      <w:pPr>
        <w:pStyle w:val="Heading2"/>
        <w:ind w:left="3600"/>
      </w:pPr>
      <w:bookmarkStart w:id="0" w:name="_GoBack"/>
      <w:bookmarkEnd w:id="0"/>
    </w:p>
    <w:p w:rsidR="00211908" w:rsidRPr="00211908" w:rsidRDefault="00211908" w:rsidP="00211908">
      <w:pPr>
        <w:pStyle w:val="Heading2"/>
        <w:ind w:left="3600"/>
      </w:pPr>
      <w:r w:rsidRPr="00211908">
        <w:t>This checklist can be used for any infant who is:</w:t>
      </w:r>
    </w:p>
    <w:p w:rsidR="00211908" w:rsidRPr="00211908" w:rsidRDefault="00211908" w:rsidP="00211908">
      <w:pPr>
        <w:pStyle w:val="Heading2"/>
        <w:numPr>
          <w:ilvl w:val="0"/>
          <w:numId w:val="2"/>
        </w:numPr>
        <w:ind w:left="4320"/>
      </w:pPr>
      <w:r w:rsidRPr="00211908">
        <w:t>Acutely unwell and at high risk of dying OR</w:t>
      </w:r>
    </w:p>
    <w:p w:rsidR="00211908" w:rsidRPr="00211908" w:rsidRDefault="00211908" w:rsidP="00211908">
      <w:pPr>
        <w:pStyle w:val="Heading2"/>
        <w:numPr>
          <w:ilvl w:val="0"/>
          <w:numId w:val="2"/>
        </w:numPr>
        <w:ind w:left="4320"/>
      </w:pPr>
      <w:r w:rsidRPr="00211908">
        <w:t>In the process of dying OR</w:t>
      </w:r>
    </w:p>
    <w:p w:rsidR="00211908" w:rsidRPr="00211908" w:rsidRDefault="00211908" w:rsidP="00211908">
      <w:pPr>
        <w:pStyle w:val="Heading2"/>
        <w:numPr>
          <w:ilvl w:val="0"/>
          <w:numId w:val="2"/>
        </w:numPr>
        <w:ind w:left="4320"/>
      </w:pPr>
      <w:r w:rsidRPr="00211908">
        <w:t xml:space="preserve">Has an </w:t>
      </w:r>
      <w:r>
        <w:t>un</w:t>
      </w:r>
      <w:r w:rsidRPr="00211908">
        <w:t>survivable illness AND/OR</w:t>
      </w:r>
    </w:p>
    <w:p w:rsidR="00211908" w:rsidRDefault="00211908" w:rsidP="00211908">
      <w:pPr>
        <w:pStyle w:val="Heading2"/>
        <w:numPr>
          <w:ilvl w:val="0"/>
          <w:numId w:val="2"/>
        </w:numPr>
        <w:ind w:left="4320"/>
      </w:pPr>
      <w:r w:rsidRPr="00211908">
        <w:t>Has a gradually deteriorating clinical status</w:t>
      </w:r>
    </w:p>
    <w:p w:rsidR="00211908" w:rsidRPr="00211908" w:rsidRDefault="00211908" w:rsidP="00211908"/>
    <w:p w:rsidR="00211908" w:rsidRDefault="00211908" w:rsidP="00211908">
      <w:pPr>
        <w:rPr>
          <w:rFonts w:ascii="Ubuntu Light" w:hAnsi="Ubuntu Light"/>
          <w:sz w:val="20"/>
          <w:szCs w:val="20"/>
        </w:rPr>
      </w:pPr>
      <w:r w:rsidRPr="00211908">
        <w:rPr>
          <w:rFonts w:ascii="Ubuntu Light" w:hAnsi="Ubuntu Light"/>
          <w:sz w:val="20"/>
          <w:szCs w:val="20"/>
        </w:rPr>
        <w:t xml:space="preserve">All areas should be regularly reviewed with the family and responsible Consultant and documentation in the medical and nursing notes. </w:t>
      </w:r>
      <w:r>
        <w:rPr>
          <w:rFonts w:ascii="Ubuntu Light" w:hAnsi="Ubuntu Light"/>
          <w:sz w:val="20"/>
          <w:szCs w:val="20"/>
        </w:rPr>
        <w:t xml:space="preserve"> </w:t>
      </w:r>
      <w:r w:rsidRPr="00211908">
        <w:rPr>
          <w:rFonts w:ascii="Ubuntu Light" w:hAnsi="Ubuntu Light"/>
          <w:sz w:val="20"/>
          <w:szCs w:val="20"/>
        </w:rPr>
        <w:t>This checklist is to be used in conjunction with the All Wales PAC-Plan.</w:t>
      </w:r>
    </w:p>
    <w:p w:rsidR="00211908" w:rsidRPr="00211908" w:rsidRDefault="00211908" w:rsidP="00211908">
      <w:pPr>
        <w:rPr>
          <w:rFonts w:ascii="Ubuntu Light" w:hAnsi="Ubuntu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11"/>
        <w:gridCol w:w="1559"/>
      </w:tblGrid>
      <w:tr w:rsidR="00211908" w:rsidTr="00211908"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Area</w:t>
            </w:r>
          </w:p>
        </w:tc>
        <w:tc>
          <w:tcPr>
            <w:tcW w:w="99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Considerations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</w:tr>
      <w:tr w:rsidR="00211908" w:rsidTr="00211908">
        <w:tc>
          <w:tcPr>
            <w:tcW w:w="20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with parents </w:t>
            </w:r>
          </w:p>
        </w:tc>
        <w:tc>
          <w:tcPr>
            <w:tcW w:w="99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discussion between senior clinician and family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referral to Childrens hospice and local palliative care team – this can be solely for bereavement support and sibling support if all other needs are being met locally or for wider support.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document key priorities for parents including religious requirements, rituals and/or blessings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wishes for extended family to visit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Consider Organ Donation (see guidance and consult with SNOD)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 relief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pain score and explore options for analgesia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environment is suitable and explore non-pharmacological interventions which may ease symptoms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Positioning, swaddling, parental hold, sucrose, buccal breast milk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symptom control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APPM formulary for specific pharmacological agents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treatment of excessive secretions, seizures, vomiting, muscle spasms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specialist advice from Paediatric Palliative Medicine Consultant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Monitoring 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  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Removal</w:t>
            </w:r>
            <w:r>
              <w:rPr>
                <w:rFonts w:ascii="Arial" w:hAnsi="Arial" w:cs="Arial"/>
                <w:sz w:val="20"/>
                <w:szCs w:val="20"/>
              </w:rPr>
              <w:t xml:space="preserve"> of invasive or electrical monitoring</w:t>
            </w:r>
          </w:p>
          <w:p w:rsidR="00211908" w:rsidRDefault="00211908" w:rsidP="00211908">
            <w:pPr>
              <w:tabs>
                <w:tab w:val="left" w:pos="1372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Replacement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continuous monitoring with intermittent assessments</w:t>
            </w:r>
          </w:p>
          <w:p w:rsidR="00211908" w:rsidRDefault="00211908" w:rsidP="00211908">
            <w:pPr>
              <w:tabs>
                <w:tab w:val="left" w:pos="1372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Rescinding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unnecessary tests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Fluids and nutrition 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document feeding decisions with COMFORT as key aim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method of delivery and balance NEED with INVASIVENESS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and Oxygen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document continued support.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planned extubation/cessation of respiratory support consider parental wishes in terms of time and place.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 parallel plan is in place (using PAC-plan)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investigations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need for further diagnostic investigations – e.g. need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perimortem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samples, post-mortem examination or imaging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Escalation of treatment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appropriate treatment ceilings and document using PAC-Plan. Detail which treatments are deemed inappropriate including reasons and date.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Resuscitation status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appropriate, especially if infant to be transferred, consider documenting “to allow natural death” once discussed with family.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location of care –could hospice/home be an option?  See transfer pathway.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08" w:rsidTr="00211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parents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Priorities for before and after death (such as bathing, clothes, blessings, making memories, sibling visiting)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place after death, consider use of cold cot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long term bereavement support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Breastfeeding cessation advice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 support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support</w:t>
            </w:r>
          </w:p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from charities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08" w:rsidRDefault="00211908">
            <w:pPr>
              <w:tabs>
                <w:tab w:val="left" w:pos="13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642" w:rsidRPr="006E7642" w:rsidRDefault="006E7642" w:rsidP="006E7642">
      <w:pPr>
        <w:autoSpaceDE w:val="0"/>
        <w:autoSpaceDN w:val="0"/>
        <w:adjustRightInd w:val="0"/>
        <w:spacing w:after="220" w:line="201" w:lineRule="atLeast"/>
        <w:jc w:val="both"/>
        <w:rPr>
          <w:rFonts w:ascii="Ubuntu Light" w:hAnsi="Ubuntu Light"/>
          <w:sz w:val="20"/>
          <w:szCs w:val="20"/>
        </w:rPr>
      </w:pPr>
    </w:p>
    <w:sectPr w:rsidR="006E7642" w:rsidRPr="006E7642" w:rsidSect="0021190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4F" w:rsidRDefault="00204A4F" w:rsidP="007B6AB9">
      <w:pPr>
        <w:spacing w:after="0" w:line="240" w:lineRule="auto"/>
      </w:pPr>
      <w:r>
        <w:separator/>
      </w:r>
    </w:p>
  </w:endnote>
  <w:endnote w:type="continuationSeparator" w:id="0">
    <w:p w:rsidR="00204A4F" w:rsidRDefault="00204A4F" w:rsidP="007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4F" w:rsidRDefault="00204A4F" w:rsidP="007B6AB9">
      <w:pPr>
        <w:spacing w:after="0" w:line="240" w:lineRule="auto"/>
      </w:pPr>
      <w:r>
        <w:separator/>
      </w:r>
    </w:p>
  </w:footnote>
  <w:footnote w:type="continuationSeparator" w:id="0">
    <w:p w:rsidR="00204A4F" w:rsidRDefault="00204A4F" w:rsidP="007B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B9" w:rsidRDefault="007B6AB9" w:rsidP="007B6AB9">
    <w:pPr>
      <w:pStyle w:val="Header"/>
      <w:ind w:firstLine="1440"/>
      <w:rPr>
        <w:rFonts w:ascii="Calibri-Bold" w:hAnsi="Calibri-Bold" w:cs="Calibri-Bold"/>
        <w:b/>
        <w:bCs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5998845</wp:posOffset>
          </wp:positionH>
          <wp:positionV relativeFrom="paragraph">
            <wp:posOffset>-278130</wp:posOffset>
          </wp:positionV>
          <wp:extent cx="1966595" cy="876300"/>
          <wp:effectExtent l="0" t="0" r="0" b="0"/>
          <wp:wrapThrough wrapText="bothSides">
            <wp:wrapPolygon edited="0">
              <wp:start x="0" y="0"/>
              <wp:lineTo x="0" y="21130"/>
              <wp:lineTo x="21342" y="21130"/>
              <wp:lineTo x="213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43hb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-230505</wp:posOffset>
          </wp:positionV>
          <wp:extent cx="1146810" cy="1383665"/>
          <wp:effectExtent l="0" t="0" r="0" b="0"/>
          <wp:wrapThrough wrapText="bothSides">
            <wp:wrapPolygon edited="0">
              <wp:start x="0" y="0"/>
              <wp:lineTo x="0" y="21412"/>
              <wp:lineTo x="21169" y="21412"/>
              <wp:lineTo x="2116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twor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38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-Bold" w:hAnsi="Calibri-Bold" w:cs="Calibri-Bold"/>
        <w:b/>
        <w:bCs/>
        <w:sz w:val="28"/>
        <w:szCs w:val="28"/>
      </w:rPr>
      <w:t xml:space="preserve">All-Wales </w:t>
    </w:r>
    <w:r>
      <w:rPr>
        <w:rFonts w:ascii="Calibri-Bold" w:hAnsi="Calibri-Bold" w:cs="Calibri-Bold"/>
        <w:b/>
        <w:bCs/>
        <w:sz w:val="32"/>
        <w:szCs w:val="32"/>
      </w:rPr>
      <w:t xml:space="preserve">Paediatric </w:t>
    </w:r>
  </w:p>
  <w:p w:rsidR="007B6AB9" w:rsidRPr="007B6AB9" w:rsidRDefault="007B6AB9" w:rsidP="007B6AB9">
    <w:pPr>
      <w:pStyle w:val="Header"/>
      <w:rPr>
        <w:rFonts w:ascii="Calibri-Bold" w:hAnsi="Calibri-Bold" w:cs="Calibri-Bold"/>
        <w:b/>
        <w:bCs/>
        <w:sz w:val="32"/>
        <w:szCs w:val="32"/>
      </w:rPr>
    </w:pPr>
    <w:r>
      <w:rPr>
        <w:rFonts w:ascii="Calibri-Bold" w:hAnsi="Calibri-Bold" w:cs="Calibri-Bold"/>
        <w:b/>
        <w:bCs/>
        <w:sz w:val="32"/>
        <w:szCs w:val="32"/>
      </w:rPr>
      <w:t xml:space="preserve">                          Palliative Care </w:t>
    </w:r>
    <w:r>
      <w:rPr>
        <w:rFonts w:ascii="Calibri-Bold" w:hAnsi="Calibri-Bold" w:cs="Calibri-Bold"/>
        <w:b/>
        <w:bCs/>
        <w:sz w:val="28"/>
        <w:szCs w:val="28"/>
      </w:rPr>
      <w:t>Network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B0A62B"/>
    <w:multiLevelType w:val="hybridMultilevel"/>
    <w:tmpl w:val="C66261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AE630B"/>
    <w:multiLevelType w:val="hybridMultilevel"/>
    <w:tmpl w:val="C414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B9"/>
    <w:rsid w:val="000674E6"/>
    <w:rsid w:val="000C6D19"/>
    <w:rsid w:val="001369E0"/>
    <w:rsid w:val="0016262E"/>
    <w:rsid w:val="00204A4F"/>
    <w:rsid w:val="00211908"/>
    <w:rsid w:val="002B72C7"/>
    <w:rsid w:val="002C39B6"/>
    <w:rsid w:val="0037531C"/>
    <w:rsid w:val="006A042D"/>
    <w:rsid w:val="006C5085"/>
    <w:rsid w:val="006E7642"/>
    <w:rsid w:val="006F400B"/>
    <w:rsid w:val="007B6AB9"/>
    <w:rsid w:val="00870C06"/>
    <w:rsid w:val="008F37A4"/>
    <w:rsid w:val="0091617F"/>
    <w:rsid w:val="00A610F6"/>
    <w:rsid w:val="00D25138"/>
    <w:rsid w:val="00E168BE"/>
    <w:rsid w:val="00E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5DF9F-81DF-42DF-B68C-75B16C8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B9"/>
  </w:style>
  <w:style w:type="paragraph" w:styleId="Footer">
    <w:name w:val="footer"/>
    <w:basedOn w:val="Normal"/>
    <w:link w:val="FooterChar"/>
    <w:uiPriority w:val="99"/>
    <w:unhideWhenUsed/>
    <w:rsid w:val="007B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B9"/>
  </w:style>
  <w:style w:type="table" w:styleId="TableGrid">
    <w:name w:val="Table Grid"/>
    <w:basedOn w:val="TableNormal"/>
    <w:uiPriority w:val="59"/>
    <w:rsid w:val="007B6AB9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2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72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4">
    <w:name w:val="Grid Table 4"/>
    <w:basedOn w:val="TableNormal"/>
    <w:uiPriority w:val="49"/>
    <w:rsid w:val="006E76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6E7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6E7642"/>
    <w:pPr>
      <w:spacing w:line="201" w:lineRule="atLeast"/>
    </w:pPr>
    <w:rPr>
      <w:rFonts w:ascii="Ubuntu Light" w:hAnsi="Ubuntu Light" w:cstheme="minorBidi"/>
      <w:color w:val="auto"/>
    </w:rPr>
  </w:style>
  <w:style w:type="character" w:customStyle="1" w:styleId="A8">
    <w:name w:val="A8"/>
    <w:uiPriority w:val="99"/>
    <w:rsid w:val="006E7642"/>
    <w:rPr>
      <w:rFonts w:cs="Ubuntu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Griffiths (ABM ULHB - Child Health)</dc:creator>
  <cp:keywords/>
  <dc:description/>
  <cp:lastModifiedBy>Jo Griffiths</cp:lastModifiedBy>
  <cp:revision>4</cp:revision>
  <dcterms:created xsi:type="dcterms:W3CDTF">2019-01-30T14:59:00Z</dcterms:created>
  <dcterms:modified xsi:type="dcterms:W3CDTF">2019-01-30T15:26:00Z</dcterms:modified>
</cp:coreProperties>
</file>