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AB9" w:rsidRDefault="002B72C7" w:rsidP="0016262E">
      <w:pPr>
        <w:pStyle w:val="Title"/>
        <w:jc w:val="center"/>
      </w:pPr>
      <w:r>
        <w:t>GUIDANCE TO SUPPORT NEONATAL CARE IN THE LAST DAYS OF LIFE</w:t>
      </w:r>
    </w:p>
    <w:p w:rsidR="002B72C7" w:rsidRDefault="002B72C7" w:rsidP="002B72C7"/>
    <w:p w:rsidR="006E7642" w:rsidRPr="0016262E" w:rsidRDefault="002B72C7" w:rsidP="0016262E">
      <w:pPr>
        <w:pStyle w:val="Heading2"/>
      </w:pPr>
      <w:r>
        <w:t xml:space="preserve">Commonly used PRN medicines and </w:t>
      </w:r>
      <w:r w:rsidR="006E7642">
        <w:t xml:space="preserve">infusion </w:t>
      </w:r>
      <w:r>
        <w:t>doses for end of life care:</w:t>
      </w:r>
    </w:p>
    <w:p w:rsidR="002B72C7" w:rsidRDefault="006E7642" w:rsidP="006E7642">
      <w:r w:rsidRPr="006E7642">
        <w:rPr>
          <w:rFonts w:ascii="Ubuntu Light" w:hAnsi="Ubuntu Light"/>
          <w:sz w:val="20"/>
          <w:szCs w:val="20"/>
        </w:rPr>
        <w:t xml:space="preserve">The drug doses below are for neonates unless otherwise indicated in the comments column. Refer to the </w:t>
      </w:r>
      <w:r>
        <w:rPr>
          <w:rFonts w:ascii="Ubuntu Light" w:hAnsi="Ubuntu Light"/>
          <w:sz w:val="20"/>
          <w:szCs w:val="20"/>
        </w:rPr>
        <w:t>APPM Master formulary for</w:t>
      </w:r>
      <w:r w:rsidRPr="006E7642">
        <w:rPr>
          <w:rFonts w:ascii="Ubuntu Light" w:hAnsi="Ubuntu Light"/>
          <w:sz w:val="20"/>
          <w:szCs w:val="20"/>
        </w:rPr>
        <w:t xml:space="preserve"> infants older than 1 month of age. </w:t>
      </w:r>
    </w:p>
    <w:tbl>
      <w:tblPr>
        <w:tblStyle w:val="GridTable4"/>
        <w:tblW w:w="10768" w:type="dxa"/>
        <w:tblLook w:val="04A0" w:firstRow="1" w:lastRow="0" w:firstColumn="1" w:lastColumn="0" w:noHBand="0" w:noVBand="1"/>
      </w:tblPr>
      <w:tblGrid>
        <w:gridCol w:w="1394"/>
        <w:gridCol w:w="1720"/>
        <w:gridCol w:w="2835"/>
        <w:gridCol w:w="2412"/>
        <w:gridCol w:w="2407"/>
      </w:tblGrid>
      <w:tr w:rsidR="006E7642" w:rsidTr="006E76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rsidR="006E7642" w:rsidRPr="006E7642" w:rsidRDefault="006E7642" w:rsidP="006E7642">
            <w:pPr>
              <w:jc w:val="center"/>
            </w:pPr>
            <w:r>
              <w:t>Indication</w:t>
            </w:r>
          </w:p>
        </w:tc>
        <w:tc>
          <w:tcPr>
            <w:tcW w:w="1720" w:type="dxa"/>
          </w:tcPr>
          <w:p w:rsidR="006E7642" w:rsidRPr="006E7642" w:rsidRDefault="006E7642" w:rsidP="006E7642">
            <w:pPr>
              <w:jc w:val="center"/>
              <w:cnfStyle w:val="100000000000" w:firstRow="1" w:lastRow="0" w:firstColumn="0" w:lastColumn="0" w:oddVBand="0" w:evenVBand="0" w:oddHBand="0" w:evenHBand="0" w:firstRowFirstColumn="0" w:firstRowLastColumn="0" w:lastRowFirstColumn="0" w:lastRowLastColumn="0"/>
            </w:pPr>
            <w:r>
              <w:t>Drug</w:t>
            </w:r>
          </w:p>
        </w:tc>
        <w:tc>
          <w:tcPr>
            <w:tcW w:w="2835" w:type="dxa"/>
          </w:tcPr>
          <w:p w:rsidR="006E7642" w:rsidRPr="006E7642" w:rsidRDefault="006E7642" w:rsidP="006E7642">
            <w:pPr>
              <w:jc w:val="center"/>
              <w:cnfStyle w:val="100000000000" w:firstRow="1" w:lastRow="0" w:firstColumn="0" w:lastColumn="0" w:oddVBand="0" w:evenVBand="0" w:oddHBand="0" w:evenHBand="0" w:firstRowFirstColumn="0" w:firstRowLastColumn="0" w:lastRowFirstColumn="0" w:lastRowLastColumn="0"/>
            </w:pPr>
            <w:r>
              <w:t>Dose</w:t>
            </w:r>
          </w:p>
        </w:tc>
        <w:tc>
          <w:tcPr>
            <w:tcW w:w="2412" w:type="dxa"/>
          </w:tcPr>
          <w:p w:rsidR="006E7642" w:rsidRPr="006E7642" w:rsidRDefault="006E7642" w:rsidP="006E7642">
            <w:pPr>
              <w:jc w:val="center"/>
              <w:cnfStyle w:val="100000000000" w:firstRow="1" w:lastRow="0" w:firstColumn="0" w:lastColumn="0" w:oddVBand="0" w:evenVBand="0" w:oddHBand="0" w:evenHBand="0" w:firstRowFirstColumn="0" w:firstRowLastColumn="0" w:lastRowFirstColumn="0" w:lastRowLastColumn="0"/>
            </w:pPr>
            <w:r>
              <w:t>Frequency</w:t>
            </w:r>
          </w:p>
        </w:tc>
        <w:tc>
          <w:tcPr>
            <w:tcW w:w="2407" w:type="dxa"/>
          </w:tcPr>
          <w:p w:rsidR="006E7642" w:rsidRPr="006E7642" w:rsidRDefault="006E7642" w:rsidP="006E7642">
            <w:pPr>
              <w:jc w:val="center"/>
              <w:cnfStyle w:val="100000000000" w:firstRow="1" w:lastRow="0" w:firstColumn="0" w:lastColumn="0" w:oddVBand="0" w:evenVBand="0" w:oddHBand="0" w:evenHBand="0" w:firstRowFirstColumn="0" w:firstRowLastColumn="0" w:lastRowFirstColumn="0" w:lastRowLastColumn="0"/>
            </w:pPr>
            <w:r>
              <w:t>Route</w:t>
            </w:r>
          </w:p>
        </w:tc>
      </w:tr>
      <w:tr w:rsidR="006E7642" w:rsidTr="006E7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shd w:val="clear" w:color="auto" w:fill="auto"/>
          </w:tcPr>
          <w:p w:rsidR="006E7642" w:rsidRDefault="006E7642" w:rsidP="002B72C7">
            <w:r>
              <w:t>Pain</w:t>
            </w:r>
          </w:p>
          <w:p w:rsidR="006E7642" w:rsidRPr="006E7642" w:rsidRDefault="006E7642" w:rsidP="002B72C7"/>
        </w:tc>
        <w:tc>
          <w:tcPr>
            <w:tcW w:w="1720" w:type="dxa"/>
            <w:shd w:val="clear" w:color="auto" w:fill="auto"/>
          </w:tcPr>
          <w:p w:rsidR="006E7642" w:rsidRPr="006E7642" w:rsidRDefault="006E7642" w:rsidP="002B72C7">
            <w:pPr>
              <w:cnfStyle w:val="000000100000" w:firstRow="0" w:lastRow="0" w:firstColumn="0" w:lastColumn="0" w:oddVBand="0" w:evenVBand="0" w:oddHBand="1" w:evenHBand="0" w:firstRowFirstColumn="0" w:firstRowLastColumn="0" w:lastRowFirstColumn="0" w:lastRowLastColumn="0"/>
              <w:rPr>
                <w:b/>
                <w:bCs/>
              </w:rPr>
            </w:pPr>
            <w:r w:rsidRPr="006E7642">
              <w:rPr>
                <w:b/>
                <w:bCs/>
              </w:rPr>
              <w:t>Morphine</w:t>
            </w:r>
            <w:r>
              <w:rPr>
                <w:b/>
                <w:bCs/>
              </w:rPr>
              <w:t xml:space="preserve"> </w:t>
            </w:r>
          </w:p>
        </w:tc>
        <w:tc>
          <w:tcPr>
            <w:tcW w:w="2835" w:type="dxa"/>
            <w:shd w:val="clear" w:color="auto" w:fill="auto"/>
          </w:tcPr>
          <w:p w:rsidR="006E7642" w:rsidRDefault="006E7642" w:rsidP="006E7642">
            <w:pPr>
              <w:cnfStyle w:val="000000100000" w:firstRow="0" w:lastRow="0" w:firstColumn="0" w:lastColumn="0" w:oddVBand="0" w:evenVBand="0" w:oddHBand="1" w:evenHBand="0" w:firstRowFirstColumn="0" w:firstRowLastColumn="0" w:lastRowFirstColumn="0" w:lastRowLastColumn="0"/>
            </w:pPr>
            <w:r>
              <w:t>25-50 micrograms/kg  if opiod naïve</w:t>
            </w:r>
          </w:p>
          <w:p w:rsidR="006E7642" w:rsidRPr="006E7642" w:rsidRDefault="006E7642" w:rsidP="006E7642">
            <w:pPr>
              <w:cnfStyle w:val="000000100000" w:firstRow="0" w:lastRow="0" w:firstColumn="0" w:lastColumn="0" w:oddVBand="0" w:evenVBand="0" w:oddHBand="1" w:evenHBand="0" w:firstRowFirstColumn="0" w:firstRowLastColumn="0" w:lastRowFirstColumn="0" w:lastRowLastColumn="0"/>
            </w:pPr>
          </w:p>
          <w:p w:rsidR="006E7642" w:rsidRPr="006E7642" w:rsidRDefault="006E7642" w:rsidP="006E7642">
            <w:pPr>
              <w:cnfStyle w:val="000000100000" w:firstRow="0" w:lastRow="0" w:firstColumn="0" w:lastColumn="0" w:oddVBand="0" w:evenVBand="0" w:oddHBand="1" w:evenHBand="0" w:firstRowFirstColumn="0" w:firstRowLastColumn="0" w:lastRowFirstColumn="0" w:lastRowLastColumn="0"/>
            </w:pPr>
            <w:r w:rsidRPr="006E7642">
              <w:t xml:space="preserve">120 micrograms/kg/24hr </w:t>
            </w:r>
          </w:p>
          <w:p w:rsidR="006E7642" w:rsidRPr="006E7642" w:rsidRDefault="006E7642" w:rsidP="006E7642">
            <w:pPr>
              <w:cnfStyle w:val="000000100000" w:firstRow="0" w:lastRow="0" w:firstColumn="0" w:lastColumn="0" w:oddVBand="0" w:evenVBand="0" w:oddHBand="1" w:evenHBand="0" w:firstRowFirstColumn="0" w:firstRowLastColumn="0" w:lastRowFirstColumn="0" w:lastRowLastColumn="0"/>
            </w:pPr>
          </w:p>
        </w:tc>
        <w:tc>
          <w:tcPr>
            <w:tcW w:w="2412" w:type="dxa"/>
            <w:shd w:val="clear" w:color="auto" w:fill="auto"/>
          </w:tcPr>
          <w:p w:rsidR="006E7642" w:rsidRPr="006E7642" w:rsidRDefault="006E7642" w:rsidP="006E7642">
            <w:pPr>
              <w:cnfStyle w:val="000000100000" w:firstRow="0" w:lastRow="0" w:firstColumn="0" w:lastColumn="0" w:oddVBand="0" w:evenVBand="0" w:oddHBand="1" w:evenHBand="0" w:firstRowFirstColumn="0" w:firstRowLastColumn="0" w:lastRowFirstColumn="0" w:lastRowLastColumn="0"/>
            </w:pPr>
            <w:r w:rsidRPr="006E7642">
              <w:t xml:space="preserve">every 6-8 hours adjusted to response </w:t>
            </w:r>
          </w:p>
          <w:p w:rsidR="006E7642" w:rsidRPr="006E7642" w:rsidRDefault="006E7642" w:rsidP="006E7642">
            <w:pPr>
              <w:cnfStyle w:val="000000100000" w:firstRow="0" w:lastRow="0" w:firstColumn="0" w:lastColumn="0" w:oddVBand="0" w:evenVBand="0" w:oddHBand="1" w:evenHBand="0" w:firstRowFirstColumn="0" w:firstRowLastColumn="0" w:lastRowFirstColumn="0" w:lastRowLastColumn="0"/>
            </w:pPr>
          </w:p>
          <w:p w:rsidR="006E7642" w:rsidRPr="006E7642" w:rsidRDefault="006E7642" w:rsidP="006E7642">
            <w:pPr>
              <w:cnfStyle w:val="000000100000" w:firstRow="0" w:lastRow="0" w:firstColumn="0" w:lastColumn="0" w:oddVBand="0" w:evenVBand="0" w:oddHBand="1" w:evenHBand="0" w:firstRowFirstColumn="0" w:firstRowLastColumn="0" w:lastRowFirstColumn="0" w:lastRowLastColumn="0"/>
            </w:pPr>
            <w:r w:rsidRPr="006E7642">
              <w:t xml:space="preserve">Over 24 hours adjusted to </w:t>
            </w:r>
            <w:r w:rsidR="008F37A4" w:rsidRPr="006E7642">
              <w:t>response</w:t>
            </w:r>
          </w:p>
        </w:tc>
        <w:tc>
          <w:tcPr>
            <w:tcW w:w="2407" w:type="dxa"/>
            <w:shd w:val="clear" w:color="auto" w:fill="auto"/>
          </w:tcPr>
          <w:p w:rsidR="006E7642" w:rsidRPr="006E7642" w:rsidRDefault="006E7642" w:rsidP="006E7642">
            <w:pPr>
              <w:cnfStyle w:val="000000100000" w:firstRow="0" w:lastRow="0" w:firstColumn="0" w:lastColumn="0" w:oddVBand="0" w:evenVBand="0" w:oddHBand="1" w:evenHBand="0" w:firstRowFirstColumn="0" w:firstRowLastColumn="0" w:lastRowFirstColumn="0" w:lastRowLastColumn="0"/>
            </w:pPr>
            <w:r w:rsidRPr="006E7642">
              <w:t>Oral/ Sub cut or IV (over at least 5 minutes)</w:t>
            </w:r>
          </w:p>
          <w:p w:rsidR="006E7642" w:rsidRPr="006E7642" w:rsidRDefault="006E7642" w:rsidP="006E7642">
            <w:pPr>
              <w:cnfStyle w:val="000000100000" w:firstRow="0" w:lastRow="0" w:firstColumn="0" w:lastColumn="0" w:oddVBand="0" w:evenVBand="0" w:oddHBand="1" w:evenHBand="0" w:firstRowFirstColumn="0" w:firstRowLastColumn="0" w:lastRowFirstColumn="0" w:lastRowLastColumn="0"/>
            </w:pPr>
          </w:p>
          <w:p w:rsidR="006E7642" w:rsidRPr="006E7642" w:rsidRDefault="006E7642" w:rsidP="006E7642">
            <w:pPr>
              <w:cnfStyle w:val="000000100000" w:firstRow="0" w:lastRow="0" w:firstColumn="0" w:lastColumn="0" w:oddVBand="0" w:evenVBand="0" w:oddHBand="1" w:evenHBand="0" w:firstRowFirstColumn="0" w:firstRowLastColumn="0" w:lastRowFirstColumn="0" w:lastRowLastColumn="0"/>
            </w:pPr>
            <w:r w:rsidRPr="006E7642">
              <w:t>Continuous subcutaneous or IV infusion</w:t>
            </w:r>
          </w:p>
        </w:tc>
      </w:tr>
      <w:tr w:rsidR="006E7642" w:rsidTr="006E7642">
        <w:tc>
          <w:tcPr>
            <w:cnfStyle w:val="001000000000" w:firstRow="0" w:lastRow="0" w:firstColumn="1" w:lastColumn="0" w:oddVBand="0" w:evenVBand="0" w:oddHBand="0" w:evenHBand="0" w:firstRowFirstColumn="0" w:firstRowLastColumn="0" w:lastRowFirstColumn="0" w:lastRowLastColumn="0"/>
            <w:tcW w:w="1394" w:type="dxa"/>
          </w:tcPr>
          <w:p w:rsidR="006E7642" w:rsidRDefault="006E7642" w:rsidP="002B72C7">
            <w:r>
              <w:t>Respiratory secretions</w:t>
            </w:r>
          </w:p>
        </w:tc>
        <w:tc>
          <w:tcPr>
            <w:tcW w:w="1720" w:type="dxa"/>
          </w:tcPr>
          <w:p w:rsidR="006E7642" w:rsidRPr="006E7642" w:rsidRDefault="006E7642" w:rsidP="002B72C7">
            <w:pPr>
              <w:cnfStyle w:val="000000000000" w:firstRow="0" w:lastRow="0" w:firstColumn="0" w:lastColumn="0" w:oddVBand="0" w:evenVBand="0" w:oddHBand="0" w:evenHBand="0" w:firstRowFirstColumn="0" w:firstRowLastColumn="0" w:lastRowFirstColumn="0" w:lastRowLastColumn="0"/>
              <w:rPr>
                <w:b/>
              </w:rPr>
            </w:pPr>
            <w:r w:rsidRPr="006E7642">
              <w:rPr>
                <w:b/>
              </w:rPr>
              <w:t>Glycopyronium bromide</w:t>
            </w:r>
          </w:p>
          <w:p w:rsidR="006E7642" w:rsidRPr="006E7642" w:rsidRDefault="006E7642" w:rsidP="002B72C7">
            <w:pPr>
              <w:cnfStyle w:val="000000000000" w:firstRow="0" w:lastRow="0" w:firstColumn="0" w:lastColumn="0" w:oddVBand="0" w:evenVBand="0" w:oddHBand="0" w:evenHBand="0" w:firstRowFirstColumn="0" w:firstRowLastColumn="0" w:lastRowFirstColumn="0" w:lastRowLastColumn="0"/>
              <w:rPr>
                <w:b/>
              </w:rPr>
            </w:pPr>
          </w:p>
          <w:p w:rsidR="006E7642" w:rsidRPr="006E7642" w:rsidRDefault="006E7642" w:rsidP="002B72C7">
            <w:pPr>
              <w:cnfStyle w:val="000000000000" w:firstRow="0" w:lastRow="0" w:firstColumn="0" w:lastColumn="0" w:oddVBand="0" w:evenVBand="0" w:oddHBand="0" w:evenHBand="0" w:firstRowFirstColumn="0" w:firstRowLastColumn="0" w:lastRowFirstColumn="0" w:lastRowLastColumn="0"/>
            </w:pPr>
            <w:r w:rsidRPr="006E7642">
              <w:rPr>
                <w:b/>
              </w:rPr>
              <w:t>Hyoscine Hydrobromide</w:t>
            </w:r>
          </w:p>
        </w:tc>
        <w:tc>
          <w:tcPr>
            <w:tcW w:w="2835" w:type="dxa"/>
          </w:tcPr>
          <w:tbl>
            <w:tblPr>
              <w:tblW w:w="0" w:type="auto"/>
              <w:tblBorders>
                <w:top w:val="nil"/>
                <w:left w:val="nil"/>
                <w:bottom w:val="nil"/>
                <w:right w:val="nil"/>
              </w:tblBorders>
              <w:tblLook w:val="0000" w:firstRow="0" w:lastRow="0" w:firstColumn="0" w:lastColumn="0" w:noHBand="0" w:noVBand="0"/>
            </w:tblPr>
            <w:tblGrid>
              <w:gridCol w:w="1544"/>
            </w:tblGrid>
            <w:tr w:rsidR="006E7642" w:rsidRPr="006E7642" w:rsidTr="00C04553">
              <w:trPr>
                <w:trHeight w:val="182"/>
              </w:trPr>
              <w:tc>
                <w:tcPr>
                  <w:tcW w:w="0" w:type="auto"/>
                </w:tcPr>
                <w:p w:rsidR="006E7642" w:rsidRPr="006E7642" w:rsidRDefault="006E7642" w:rsidP="006E7642">
                  <w:pPr>
                    <w:spacing w:after="0" w:line="240" w:lineRule="auto"/>
                  </w:pPr>
                  <w:r w:rsidRPr="006E7642">
                    <w:t xml:space="preserve">40–100mcg/kg </w:t>
                  </w:r>
                </w:p>
              </w:tc>
            </w:tr>
          </w:tbl>
          <w:p w:rsidR="006E7642" w:rsidRPr="006E7642" w:rsidRDefault="006E7642" w:rsidP="006E7642">
            <w:pPr>
              <w:cnfStyle w:val="000000000000" w:firstRow="0" w:lastRow="0" w:firstColumn="0" w:lastColumn="0" w:oddVBand="0" w:evenVBand="0" w:oddHBand="0" w:evenHBand="0" w:firstRowFirstColumn="0" w:firstRowLastColumn="0" w:lastRowFirstColumn="0" w:lastRowLastColumn="0"/>
            </w:pPr>
          </w:p>
          <w:p w:rsidR="006E7642" w:rsidRDefault="006E7642" w:rsidP="006E7642">
            <w:pPr>
              <w:cnfStyle w:val="000000000000" w:firstRow="0" w:lastRow="0" w:firstColumn="0" w:lastColumn="0" w:oddVBand="0" w:evenVBand="0" w:oddHBand="0" w:evenHBand="0" w:firstRowFirstColumn="0" w:firstRowLastColumn="0" w:lastRowFirstColumn="0" w:lastRowLastColumn="0"/>
            </w:pPr>
          </w:p>
          <w:p w:rsidR="006E7642" w:rsidRPr="006E7642" w:rsidRDefault="006E7642" w:rsidP="006E7642">
            <w:pPr>
              <w:cnfStyle w:val="000000000000" w:firstRow="0" w:lastRow="0" w:firstColumn="0" w:lastColumn="0" w:oddVBand="0" w:evenVBand="0" w:oddHBand="0" w:evenHBand="0" w:firstRowFirstColumn="0" w:firstRowLastColumn="0" w:lastRowFirstColumn="0" w:lastRowLastColumn="0"/>
            </w:pPr>
            <w:r>
              <w:t>250mcg ( quarter of a patch)</w:t>
            </w:r>
          </w:p>
        </w:tc>
        <w:tc>
          <w:tcPr>
            <w:tcW w:w="2412" w:type="dxa"/>
          </w:tcPr>
          <w:p w:rsidR="006E7642" w:rsidRDefault="006E7642" w:rsidP="006E7642">
            <w:pPr>
              <w:cnfStyle w:val="000000000000" w:firstRow="0" w:lastRow="0" w:firstColumn="0" w:lastColumn="0" w:oddVBand="0" w:evenVBand="0" w:oddHBand="0" w:evenHBand="0" w:firstRowFirstColumn="0" w:firstRowLastColumn="0" w:lastRowFirstColumn="0" w:lastRowLastColumn="0"/>
            </w:pPr>
            <w:r>
              <w:t>6-8 hourly</w:t>
            </w:r>
          </w:p>
          <w:p w:rsidR="006E7642" w:rsidRDefault="006E7642" w:rsidP="006E7642">
            <w:pPr>
              <w:cnfStyle w:val="000000000000" w:firstRow="0" w:lastRow="0" w:firstColumn="0" w:lastColumn="0" w:oddVBand="0" w:evenVBand="0" w:oddHBand="0" w:evenHBand="0" w:firstRowFirstColumn="0" w:firstRowLastColumn="0" w:lastRowFirstColumn="0" w:lastRowLastColumn="0"/>
            </w:pPr>
          </w:p>
          <w:p w:rsidR="006E7642" w:rsidRDefault="006E7642" w:rsidP="006E7642">
            <w:pPr>
              <w:cnfStyle w:val="000000000000" w:firstRow="0" w:lastRow="0" w:firstColumn="0" w:lastColumn="0" w:oddVBand="0" w:evenVBand="0" w:oddHBand="0" w:evenHBand="0" w:firstRowFirstColumn="0" w:firstRowLastColumn="0" w:lastRowFirstColumn="0" w:lastRowLastColumn="0"/>
            </w:pPr>
          </w:p>
          <w:p w:rsidR="006E7642" w:rsidRPr="006E7642" w:rsidRDefault="006E7642" w:rsidP="006E7642">
            <w:pPr>
              <w:cnfStyle w:val="000000000000" w:firstRow="0" w:lastRow="0" w:firstColumn="0" w:lastColumn="0" w:oddVBand="0" w:evenVBand="0" w:oddHBand="0" w:evenHBand="0" w:firstRowFirstColumn="0" w:firstRowLastColumn="0" w:lastRowFirstColumn="0" w:lastRowLastColumn="0"/>
            </w:pPr>
            <w:r>
              <w:t>Every 72 hrs</w:t>
            </w:r>
          </w:p>
        </w:tc>
        <w:tc>
          <w:tcPr>
            <w:tcW w:w="2407" w:type="dxa"/>
          </w:tcPr>
          <w:p w:rsidR="006E7642" w:rsidRDefault="006E7642" w:rsidP="006E7642">
            <w:pPr>
              <w:cnfStyle w:val="000000000000" w:firstRow="0" w:lastRow="0" w:firstColumn="0" w:lastColumn="0" w:oddVBand="0" w:evenVBand="0" w:oddHBand="0" w:evenHBand="0" w:firstRowFirstColumn="0" w:firstRowLastColumn="0" w:lastRowFirstColumn="0" w:lastRowLastColumn="0"/>
            </w:pPr>
            <w:r>
              <w:t>Oral</w:t>
            </w:r>
          </w:p>
          <w:p w:rsidR="006E7642" w:rsidRDefault="006E7642" w:rsidP="006E7642">
            <w:pPr>
              <w:cnfStyle w:val="000000000000" w:firstRow="0" w:lastRow="0" w:firstColumn="0" w:lastColumn="0" w:oddVBand="0" w:evenVBand="0" w:oddHBand="0" w:evenHBand="0" w:firstRowFirstColumn="0" w:firstRowLastColumn="0" w:lastRowFirstColumn="0" w:lastRowLastColumn="0"/>
            </w:pPr>
          </w:p>
          <w:p w:rsidR="006E7642" w:rsidRDefault="006E7642" w:rsidP="006E7642">
            <w:pPr>
              <w:cnfStyle w:val="000000000000" w:firstRow="0" w:lastRow="0" w:firstColumn="0" w:lastColumn="0" w:oddVBand="0" w:evenVBand="0" w:oddHBand="0" w:evenHBand="0" w:firstRowFirstColumn="0" w:firstRowLastColumn="0" w:lastRowFirstColumn="0" w:lastRowLastColumn="0"/>
            </w:pPr>
          </w:p>
          <w:p w:rsidR="006E7642" w:rsidRPr="006E7642" w:rsidRDefault="006E7642" w:rsidP="006E7642">
            <w:pPr>
              <w:cnfStyle w:val="000000000000" w:firstRow="0" w:lastRow="0" w:firstColumn="0" w:lastColumn="0" w:oddVBand="0" w:evenVBand="0" w:oddHBand="0" w:evenHBand="0" w:firstRowFirstColumn="0" w:firstRowLastColumn="0" w:lastRowFirstColumn="0" w:lastRowLastColumn="0"/>
            </w:pPr>
            <w:r>
              <w:t>Transdermal</w:t>
            </w:r>
          </w:p>
        </w:tc>
      </w:tr>
      <w:tr w:rsidR="006E7642" w:rsidTr="006E7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shd w:val="clear" w:color="auto" w:fill="auto"/>
          </w:tcPr>
          <w:p w:rsidR="006E7642" w:rsidRDefault="006E7642" w:rsidP="002B72C7">
            <w:r>
              <w:t>Seizures</w:t>
            </w:r>
          </w:p>
        </w:tc>
        <w:tc>
          <w:tcPr>
            <w:tcW w:w="1720" w:type="dxa"/>
            <w:shd w:val="clear" w:color="auto" w:fill="auto"/>
          </w:tcPr>
          <w:p w:rsidR="006E7642" w:rsidRPr="006E7642" w:rsidRDefault="006E7642" w:rsidP="002B72C7">
            <w:pPr>
              <w:cnfStyle w:val="000000100000" w:firstRow="0" w:lastRow="0" w:firstColumn="0" w:lastColumn="0" w:oddVBand="0" w:evenVBand="0" w:oddHBand="1" w:evenHBand="0" w:firstRowFirstColumn="0" w:firstRowLastColumn="0" w:lastRowFirstColumn="0" w:lastRowLastColumn="0"/>
              <w:rPr>
                <w:b/>
              </w:rPr>
            </w:pPr>
            <w:r w:rsidRPr="006E7642">
              <w:rPr>
                <w:b/>
              </w:rPr>
              <w:t>Midazolam</w:t>
            </w:r>
          </w:p>
        </w:tc>
        <w:tc>
          <w:tcPr>
            <w:tcW w:w="2835" w:type="dxa"/>
            <w:shd w:val="clear" w:color="auto" w:fill="auto"/>
          </w:tcPr>
          <w:p w:rsidR="006E7642" w:rsidRPr="006E7642" w:rsidRDefault="006E7642" w:rsidP="006E7642">
            <w:pPr>
              <w:cnfStyle w:val="000000100000" w:firstRow="0" w:lastRow="0" w:firstColumn="0" w:lastColumn="0" w:oddVBand="0" w:evenVBand="0" w:oddHBand="1" w:evenHBand="0" w:firstRowFirstColumn="0" w:firstRowLastColumn="0" w:lastRowFirstColumn="0" w:lastRowLastColumn="0"/>
            </w:pPr>
            <w:r w:rsidRPr="006E7642">
              <w:t xml:space="preserve">0.5-1 mg/kg/24 hours increasing up to </w:t>
            </w:r>
          </w:p>
          <w:p w:rsidR="006E7642" w:rsidRPr="006E7642" w:rsidRDefault="006E7642" w:rsidP="006E7642">
            <w:pPr>
              <w:cnfStyle w:val="000000100000" w:firstRow="0" w:lastRow="0" w:firstColumn="0" w:lastColumn="0" w:oddVBand="0" w:evenVBand="0" w:oddHBand="1" w:evenHBand="0" w:firstRowFirstColumn="0" w:firstRowLastColumn="0" w:lastRowFirstColumn="0" w:lastRowLastColumn="0"/>
            </w:pPr>
            <w:r w:rsidRPr="006E7642">
              <w:t>7 m</w:t>
            </w:r>
            <w:r>
              <w:t>g/kg/24 hours (maximum 60 mg/24)</w:t>
            </w:r>
          </w:p>
          <w:p w:rsidR="006E7642" w:rsidRPr="006E7642" w:rsidRDefault="006E7642" w:rsidP="006E7642">
            <w:pPr>
              <w:cnfStyle w:val="000000100000" w:firstRow="0" w:lastRow="0" w:firstColumn="0" w:lastColumn="0" w:oddVBand="0" w:evenVBand="0" w:oddHBand="1" w:evenHBand="0" w:firstRowFirstColumn="0" w:firstRowLastColumn="0" w:lastRowFirstColumn="0" w:lastRowLastColumn="0"/>
            </w:pPr>
          </w:p>
          <w:p w:rsidR="006E7642" w:rsidRPr="006E7642" w:rsidRDefault="006E7642" w:rsidP="006E7642">
            <w:pPr>
              <w:cnfStyle w:val="000000100000" w:firstRow="0" w:lastRow="0" w:firstColumn="0" w:lastColumn="0" w:oddVBand="0" w:evenVBand="0" w:oddHBand="1" w:evenHBand="0" w:firstRowFirstColumn="0" w:firstRowLastColumn="0" w:lastRowFirstColumn="0" w:lastRowLastColumn="0"/>
            </w:pPr>
            <w:r w:rsidRPr="006E7642">
              <w:t>300microgramms/kg</w:t>
            </w:r>
          </w:p>
          <w:p w:rsidR="006E7642" w:rsidRDefault="006E7642" w:rsidP="006E7642">
            <w:pPr>
              <w:cnfStyle w:val="000000100000" w:firstRow="0" w:lastRow="0" w:firstColumn="0" w:lastColumn="0" w:oddVBand="0" w:evenVBand="0" w:oddHBand="1" w:evenHBand="0" w:firstRowFirstColumn="0" w:firstRowLastColumn="0" w:lastRowFirstColumn="0" w:lastRowLastColumn="0"/>
            </w:pPr>
          </w:p>
        </w:tc>
        <w:tc>
          <w:tcPr>
            <w:tcW w:w="2412" w:type="dxa"/>
            <w:shd w:val="clear" w:color="auto" w:fill="auto"/>
          </w:tcPr>
          <w:p w:rsidR="006E7642" w:rsidRPr="006E7642" w:rsidRDefault="006E7642" w:rsidP="006E7642">
            <w:pPr>
              <w:cnfStyle w:val="000000100000" w:firstRow="0" w:lastRow="0" w:firstColumn="0" w:lastColumn="0" w:oddVBand="0" w:evenVBand="0" w:oddHBand="1" w:evenHBand="0" w:firstRowFirstColumn="0" w:firstRowLastColumn="0" w:lastRowFirstColumn="0" w:lastRowLastColumn="0"/>
            </w:pPr>
            <w:r w:rsidRPr="006E7642">
              <w:t>Over 24hrs.</w:t>
            </w:r>
          </w:p>
          <w:p w:rsidR="006E7642" w:rsidRPr="006E7642" w:rsidRDefault="006E7642" w:rsidP="006E7642">
            <w:pPr>
              <w:cnfStyle w:val="000000100000" w:firstRow="0" w:lastRow="0" w:firstColumn="0" w:lastColumn="0" w:oddVBand="0" w:evenVBand="0" w:oddHBand="1" w:evenHBand="0" w:firstRowFirstColumn="0" w:firstRowLastColumn="0" w:lastRowFirstColumn="0" w:lastRowLastColumn="0"/>
            </w:pPr>
          </w:p>
          <w:p w:rsidR="006E7642" w:rsidRPr="006E7642" w:rsidRDefault="006E7642" w:rsidP="006E7642">
            <w:pPr>
              <w:cnfStyle w:val="000000100000" w:firstRow="0" w:lastRow="0" w:firstColumn="0" w:lastColumn="0" w:oddVBand="0" w:evenVBand="0" w:oddHBand="1" w:evenHBand="0" w:firstRowFirstColumn="0" w:firstRowLastColumn="0" w:lastRowFirstColumn="0" w:lastRowLastColumn="0"/>
            </w:pPr>
          </w:p>
          <w:p w:rsidR="006E7642" w:rsidRPr="006E7642" w:rsidRDefault="006E7642" w:rsidP="006E7642">
            <w:pPr>
              <w:cnfStyle w:val="000000100000" w:firstRow="0" w:lastRow="0" w:firstColumn="0" w:lastColumn="0" w:oddVBand="0" w:evenVBand="0" w:oddHBand="1" w:evenHBand="0" w:firstRowFirstColumn="0" w:firstRowLastColumn="0" w:lastRowFirstColumn="0" w:lastRowLastColumn="0"/>
            </w:pPr>
          </w:p>
          <w:p w:rsidR="006E7642" w:rsidRDefault="006E7642" w:rsidP="006E7642">
            <w:pPr>
              <w:cnfStyle w:val="000000100000" w:firstRow="0" w:lastRow="0" w:firstColumn="0" w:lastColumn="0" w:oddVBand="0" w:evenVBand="0" w:oddHBand="1" w:evenHBand="0" w:firstRowFirstColumn="0" w:firstRowLastColumn="0" w:lastRowFirstColumn="0" w:lastRowLastColumn="0"/>
            </w:pPr>
          </w:p>
          <w:p w:rsidR="006E7642" w:rsidRPr="006E7642" w:rsidRDefault="006E7642" w:rsidP="006E7642">
            <w:pPr>
              <w:cnfStyle w:val="000000100000" w:firstRow="0" w:lastRow="0" w:firstColumn="0" w:lastColumn="0" w:oddVBand="0" w:evenVBand="0" w:oddHBand="1" w:evenHBand="0" w:firstRowFirstColumn="0" w:firstRowLastColumn="0" w:lastRowFirstColumn="0" w:lastRowLastColumn="0"/>
            </w:pPr>
            <w:r w:rsidRPr="006E7642">
              <w:t>Single dose repeated once if necessary</w:t>
            </w:r>
          </w:p>
        </w:tc>
        <w:tc>
          <w:tcPr>
            <w:tcW w:w="2407" w:type="dxa"/>
            <w:shd w:val="clear" w:color="auto" w:fill="auto"/>
          </w:tcPr>
          <w:p w:rsidR="006E7642" w:rsidRPr="006E7642" w:rsidRDefault="008F37A4" w:rsidP="006E7642">
            <w:pPr>
              <w:cnfStyle w:val="000000100000" w:firstRow="0" w:lastRow="0" w:firstColumn="0" w:lastColumn="0" w:oddVBand="0" w:evenVBand="0" w:oddHBand="1" w:evenHBand="0" w:firstRowFirstColumn="0" w:firstRowLastColumn="0" w:lastRowFirstColumn="0" w:lastRowLastColumn="0"/>
            </w:pPr>
            <w:r w:rsidRPr="006E7642">
              <w:t>Sub cut</w:t>
            </w:r>
            <w:r w:rsidR="006E7642" w:rsidRPr="006E7642">
              <w:t xml:space="preserve"> or IV infusion</w:t>
            </w:r>
          </w:p>
          <w:p w:rsidR="006E7642" w:rsidRPr="006E7642" w:rsidRDefault="006E7642" w:rsidP="006E7642">
            <w:pPr>
              <w:cnfStyle w:val="000000100000" w:firstRow="0" w:lastRow="0" w:firstColumn="0" w:lastColumn="0" w:oddVBand="0" w:evenVBand="0" w:oddHBand="1" w:evenHBand="0" w:firstRowFirstColumn="0" w:firstRowLastColumn="0" w:lastRowFirstColumn="0" w:lastRowLastColumn="0"/>
            </w:pPr>
          </w:p>
          <w:p w:rsidR="006E7642" w:rsidRPr="006E7642" w:rsidRDefault="006E7642" w:rsidP="006E7642">
            <w:pPr>
              <w:cnfStyle w:val="000000100000" w:firstRow="0" w:lastRow="0" w:firstColumn="0" w:lastColumn="0" w:oddVBand="0" w:evenVBand="0" w:oddHBand="1" w:evenHBand="0" w:firstRowFirstColumn="0" w:firstRowLastColumn="0" w:lastRowFirstColumn="0" w:lastRowLastColumn="0"/>
            </w:pPr>
          </w:p>
          <w:p w:rsidR="006E7642" w:rsidRPr="006E7642" w:rsidRDefault="006E7642" w:rsidP="006E7642">
            <w:pPr>
              <w:cnfStyle w:val="000000100000" w:firstRow="0" w:lastRow="0" w:firstColumn="0" w:lastColumn="0" w:oddVBand="0" w:evenVBand="0" w:oddHBand="1" w:evenHBand="0" w:firstRowFirstColumn="0" w:firstRowLastColumn="0" w:lastRowFirstColumn="0" w:lastRowLastColumn="0"/>
            </w:pPr>
          </w:p>
          <w:p w:rsidR="006E7642" w:rsidRDefault="006E7642" w:rsidP="006E7642">
            <w:pPr>
              <w:cnfStyle w:val="000000100000" w:firstRow="0" w:lastRow="0" w:firstColumn="0" w:lastColumn="0" w:oddVBand="0" w:evenVBand="0" w:oddHBand="1" w:evenHBand="0" w:firstRowFirstColumn="0" w:firstRowLastColumn="0" w:lastRowFirstColumn="0" w:lastRowLastColumn="0"/>
            </w:pPr>
          </w:p>
          <w:p w:rsidR="006E7642" w:rsidRPr="006E7642" w:rsidRDefault="006E7642" w:rsidP="006E7642">
            <w:pPr>
              <w:cnfStyle w:val="000000100000" w:firstRow="0" w:lastRow="0" w:firstColumn="0" w:lastColumn="0" w:oddVBand="0" w:evenVBand="0" w:oddHBand="1" w:evenHBand="0" w:firstRowFirstColumn="0" w:firstRowLastColumn="0" w:lastRowFirstColumn="0" w:lastRowLastColumn="0"/>
            </w:pPr>
            <w:r w:rsidRPr="006E7642">
              <w:t>Buccal or intranasal</w:t>
            </w:r>
          </w:p>
        </w:tc>
      </w:tr>
      <w:tr w:rsidR="006E7642" w:rsidTr="006E7642">
        <w:tc>
          <w:tcPr>
            <w:cnfStyle w:val="001000000000" w:firstRow="0" w:lastRow="0" w:firstColumn="1" w:lastColumn="0" w:oddVBand="0" w:evenVBand="0" w:oddHBand="0" w:evenHBand="0" w:firstRowFirstColumn="0" w:firstRowLastColumn="0" w:lastRowFirstColumn="0" w:lastRowLastColumn="0"/>
            <w:tcW w:w="1394" w:type="dxa"/>
            <w:shd w:val="clear" w:color="auto" w:fill="auto"/>
          </w:tcPr>
          <w:p w:rsidR="006E7642" w:rsidRDefault="006E7642" w:rsidP="002B72C7"/>
        </w:tc>
        <w:tc>
          <w:tcPr>
            <w:tcW w:w="1720" w:type="dxa"/>
            <w:shd w:val="clear" w:color="auto" w:fill="auto"/>
          </w:tcPr>
          <w:p w:rsidR="006E7642" w:rsidRPr="006E7642" w:rsidRDefault="006E7642" w:rsidP="002B72C7">
            <w:pPr>
              <w:cnfStyle w:val="000000000000" w:firstRow="0" w:lastRow="0" w:firstColumn="0" w:lastColumn="0" w:oddVBand="0" w:evenVBand="0" w:oddHBand="0" w:evenHBand="0" w:firstRowFirstColumn="0" w:firstRowLastColumn="0" w:lastRowFirstColumn="0" w:lastRowLastColumn="0"/>
              <w:rPr>
                <w:b/>
              </w:rPr>
            </w:pPr>
            <w:r w:rsidRPr="006E7642">
              <w:rPr>
                <w:b/>
              </w:rPr>
              <w:t>Phenobarbital</w:t>
            </w:r>
          </w:p>
        </w:tc>
        <w:tc>
          <w:tcPr>
            <w:tcW w:w="2835" w:type="dxa"/>
            <w:shd w:val="clear" w:color="auto" w:fill="auto"/>
          </w:tcPr>
          <w:p w:rsidR="006E7642" w:rsidRPr="006E7642" w:rsidRDefault="006E7642" w:rsidP="006E7642">
            <w:pPr>
              <w:cnfStyle w:val="000000000000" w:firstRow="0" w:lastRow="0" w:firstColumn="0" w:lastColumn="0" w:oddVBand="0" w:evenVBand="0" w:oddHBand="0" w:evenHBand="0" w:firstRowFirstColumn="0" w:firstRowLastColumn="0" w:lastRowFirstColumn="0" w:lastRowLastColumn="0"/>
            </w:pPr>
            <w:r w:rsidRPr="006E7642">
              <w:t>20mg/kg  Then</w:t>
            </w:r>
          </w:p>
          <w:p w:rsidR="006E7642" w:rsidRPr="006E7642" w:rsidRDefault="006E7642" w:rsidP="006E7642">
            <w:pPr>
              <w:cnfStyle w:val="000000000000" w:firstRow="0" w:lastRow="0" w:firstColumn="0" w:lastColumn="0" w:oddVBand="0" w:evenVBand="0" w:oddHBand="0" w:evenHBand="0" w:firstRowFirstColumn="0" w:firstRowLastColumn="0" w:lastRowFirstColumn="0" w:lastRowLastColumn="0"/>
            </w:pPr>
          </w:p>
          <w:p w:rsidR="006E7642" w:rsidRPr="006E7642" w:rsidRDefault="006E7642" w:rsidP="006E7642">
            <w:pPr>
              <w:cnfStyle w:val="000000000000" w:firstRow="0" w:lastRow="0" w:firstColumn="0" w:lastColumn="0" w:oddVBand="0" w:evenVBand="0" w:oddHBand="0" w:evenHBand="0" w:firstRowFirstColumn="0" w:firstRowLastColumn="0" w:lastRowFirstColumn="0" w:lastRowLastColumn="0"/>
            </w:pPr>
            <w:r w:rsidRPr="006E7642">
              <w:t>2.5-5mg/kg once daily</w:t>
            </w:r>
          </w:p>
        </w:tc>
        <w:tc>
          <w:tcPr>
            <w:tcW w:w="2412" w:type="dxa"/>
            <w:shd w:val="clear" w:color="auto" w:fill="auto"/>
          </w:tcPr>
          <w:p w:rsidR="006E7642" w:rsidRDefault="006E7642" w:rsidP="006E7642">
            <w:pPr>
              <w:cnfStyle w:val="000000000000" w:firstRow="0" w:lastRow="0" w:firstColumn="0" w:lastColumn="0" w:oddVBand="0" w:evenVBand="0" w:oddHBand="0" w:evenHBand="0" w:firstRowFirstColumn="0" w:firstRowLastColumn="0" w:lastRowFirstColumn="0" w:lastRowLastColumn="0"/>
            </w:pPr>
            <w:r>
              <w:t>Single dose</w:t>
            </w:r>
          </w:p>
          <w:p w:rsidR="006E7642" w:rsidRDefault="006E7642" w:rsidP="006E7642">
            <w:pPr>
              <w:cnfStyle w:val="000000000000" w:firstRow="0" w:lastRow="0" w:firstColumn="0" w:lastColumn="0" w:oddVBand="0" w:evenVBand="0" w:oddHBand="0" w:evenHBand="0" w:firstRowFirstColumn="0" w:firstRowLastColumn="0" w:lastRowFirstColumn="0" w:lastRowLastColumn="0"/>
            </w:pPr>
          </w:p>
          <w:p w:rsidR="006E7642" w:rsidRDefault="006E7642" w:rsidP="006E7642">
            <w:pPr>
              <w:cnfStyle w:val="000000000000" w:firstRow="0" w:lastRow="0" w:firstColumn="0" w:lastColumn="0" w:oddVBand="0" w:evenVBand="0" w:oddHBand="0" w:evenHBand="0" w:firstRowFirstColumn="0" w:firstRowLastColumn="0" w:lastRowFirstColumn="0" w:lastRowLastColumn="0"/>
            </w:pPr>
            <w:r>
              <w:t>Per 24 hours</w:t>
            </w:r>
          </w:p>
          <w:p w:rsidR="006E7642" w:rsidRDefault="006E7642" w:rsidP="006E7642">
            <w:pPr>
              <w:cnfStyle w:val="000000000000" w:firstRow="0" w:lastRow="0" w:firstColumn="0" w:lastColumn="0" w:oddVBand="0" w:evenVBand="0" w:oddHBand="0" w:evenHBand="0" w:firstRowFirstColumn="0" w:firstRowLastColumn="0" w:lastRowFirstColumn="0" w:lastRowLastColumn="0"/>
            </w:pPr>
          </w:p>
          <w:p w:rsidR="006E7642" w:rsidRDefault="006E7642" w:rsidP="006E7642">
            <w:pPr>
              <w:cnfStyle w:val="000000000000" w:firstRow="0" w:lastRow="0" w:firstColumn="0" w:lastColumn="0" w:oddVBand="0" w:evenVBand="0" w:oddHBand="0" w:evenHBand="0" w:firstRowFirstColumn="0" w:firstRowLastColumn="0" w:lastRowFirstColumn="0" w:lastRowLastColumn="0"/>
            </w:pPr>
          </w:p>
        </w:tc>
        <w:tc>
          <w:tcPr>
            <w:tcW w:w="2407" w:type="dxa"/>
            <w:shd w:val="clear" w:color="auto" w:fill="auto"/>
          </w:tcPr>
          <w:p w:rsidR="006E7642" w:rsidRPr="006E7642" w:rsidRDefault="006E7642" w:rsidP="006E7642">
            <w:pPr>
              <w:cnfStyle w:val="000000000000" w:firstRow="0" w:lastRow="0" w:firstColumn="0" w:lastColumn="0" w:oddVBand="0" w:evenVBand="0" w:oddHBand="0" w:evenHBand="0" w:firstRowFirstColumn="0" w:firstRowLastColumn="0" w:lastRowFirstColumn="0" w:lastRowLastColumn="0"/>
            </w:pPr>
            <w:r w:rsidRPr="006E7642">
              <w:t>Slow IV /Sub cut or oral</w:t>
            </w:r>
          </w:p>
          <w:p w:rsidR="006E7642" w:rsidRPr="006E7642" w:rsidRDefault="006E7642" w:rsidP="006E7642">
            <w:pPr>
              <w:cnfStyle w:val="000000000000" w:firstRow="0" w:lastRow="0" w:firstColumn="0" w:lastColumn="0" w:oddVBand="0" w:evenVBand="0" w:oddHBand="0" w:evenHBand="0" w:firstRowFirstColumn="0" w:firstRowLastColumn="0" w:lastRowFirstColumn="0" w:lastRowLastColumn="0"/>
            </w:pPr>
          </w:p>
          <w:p w:rsidR="006E7642" w:rsidRPr="006E7642" w:rsidRDefault="006E7642" w:rsidP="006E7642">
            <w:pPr>
              <w:cnfStyle w:val="000000000000" w:firstRow="0" w:lastRow="0" w:firstColumn="0" w:lastColumn="0" w:oddVBand="0" w:evenVBand="0" w:oddHBand="0" w:evenHBand="0" w:firstRowFirstColumn="0" w:firstRowLastColumn="0" w:lastRowFirstColumn="0" w:lastRowLastColumn="0"/>
            </w:pPr>
            <w:r w:rsidRPr="006E7642">
              <w:t>Oral/slow intravenous injection or infusio</w:t>
            </w:r>
            <w:r>
              <w:t>n</w:t>
            </w:r>
          </w:p>
        </w:tc>
      </w:tr>
      <w:tr w:rsidR="006E7642" w:rsidTr="006E7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tcPr>
          <w:p w:rsidR="006E7642" w:rsidRDefault="006E7642" w:rsidP="002B72C7">
            <w:r>
              <w:t>Anxiety / distress</w:t>
            </w:r>
          </w:p>
        </w:tc>
        <w:tc>
          <w:tcPr>
            <w:tcW w:w="1720" w:type="dxa"/>
          </w:tcPr>
          <w:p w:rsidR="006E7642" w:rsidRPr="006E7642" w:rsidRDefault="006E7642" w:rsidP="002B72C7">
            <w:pPr>
              <w:cnfStyle w:val="000000100000" w:firstRow="0" w:lastRow="0" w:firstColumn="0" w:lastColumn="0" w:oddVBand="0" w:evenVBand="0" w:oddHBand="1" w:evenHBand="0" w:firstRowFirstColumn="0" w:firstRowLastColumn="0" w:lastRowFirstColumn="0" w:lastRowLastColumn="0"/>
              <w:rPr>
                <w:b/>
                <w:bCs/>
              </w:rPr>
            </w:pPr>
            <w:r w:rsidRPr="006E7642">
              <w:rPr>
                <w:b/>
                <w:bCs/>
              </w:rPr>
              <w:t>Midazolam</w:t>
            </w:r>
          </w:p>
        </w:tc>
        <w:tc>
          <w:tcPr>
            <w:tcW w:w="2835" w:type="dxa"/>
          </w:tcPr>
          <w:p w:rsidR="006E7642" w:rsidRPr="006E7642" w:rsidRDefault="006E7642" w:rsidP="002B72C7">
            <w:pPr>
              <w:cnfStyle w:val="000000100000" w:firstRow="0" w:lastRow="0" w:firstColumn="0" w:lastColumn="0" w:oddVBand="0" w:evenVBand="0" w:oddHBand="1" w:evenHBand="0" w:firstRowFirstColumn="0" w:firstRowLastColumn="0" w:lastRowFirstColumn="0" w:lastRowLastColumn="0"/>
            </w:pPr>
            <w:r w:rsidRPr="006E7642">
              <w:t>25micrograms/kg</w:t>
            </w:r>
          </w:p>
          <w:p w:rsidR="006E7642" w:rsidRPr="006E7642" w:rsidRDefault="006E7642" w:rsidP="002B72C7">
            <w:pPr>
              <w:cnfStyle w:val="000000100000" w:firstRow="0" w:lastRow="0" w:firstColumn="0" w:lastColumn="0" w:oddVBand="0" w:evenVBand="0" w:oddHBand="1" w:evenHBand="0" w:firstRowFirstColumn="0" w:firstRowLastColumn="0" w:lastRowFirstColumn="0" w:lastRowLastColumn="0"/>
            </w:pPr>
          </w:p>
          <w:p w:rsidR="006E7642" w:rsidRPr="006E7642" w:rsidRDefault="006E7642" w:rsidP="002B72C7">
            <w:pPr>
              <w:cnfStyle w:val="000000100000" w:firstRow="0" w:lastRow="0" w:firstColumn="0" w:lastColumn="0" w:oddVBand="0" w:evenVBand="0" w:oddHBand="1" w:evenHBand="0" w:firstRowFirstColumn="0" w:firstRowLastColumn="0" w:lastRowFirstColumn="0" w:lastRowLastColumn="0"/>
            </w:pPr>
            <w:r w:rsidRPr="006E7642">
              <w:t>50 micrograms/kg</w:t>
            </w:r>
          </w:p>
          <w:p w:rsidR="006E7642" w:rsidRPr="006E7642" w:rsidRDefault="006E7642" w:rsidP="002B72C7">
            <w:pPr>
              <w:cnfStyle w:val="000000100000" w:firstRow="0" w:lastRow="0" w:firstColumn="0" w:lastColumn="0" w:oddVBand="0" w:evenVBand="0" w:oddHBand="1" w:evenHBand="0" w:firstRowFirstColumn="0" w:firstRowLastColumn="0" w:lastRowFirstColumn="0" w:lastRowLastColumn="0"/>
            </w:pPr>
          </w:p>
          <w:p w:rsidR="006E7642" w:rsidRPr="006E7642" w:rsidRDefault="006E7642" w:rsidP="002B72C7">
            <w:pPr>
              <w:cnfStyle w:val="000000100000" w:firstRow="0" w:lastRow="0" w:firstColumn="0" w:lastColumn="0" w:oddVBand="0" w:evenVBand="0" w:oddHBand="1" w:evenHBand="0" w:firstRowFirstColumn="0" w:firstRowLastColumn="0" w:lastRowFirstColumn="0" w:lastRowLastColumn="0"/>
            </w:pPr>
            <w:r w:rsidRPr="006E7642">
              <w:t>25 micrograms/kg</w:t>
            </w:r>
          </w:p>
          <w:p w:rsidR="006E7642" w:rsidRPr="006E7642" w:rsidRDefault="006E7642" w:rsidP="002B72C7">
            <w:pPr>
              <w:cnfStyle w:val="000000100000" w:firstRow="0" w:lastRow="0" w:firstColumn="0" w:lastColumn="0" w:oddVBand="0" w:evenVBand="0" w:oddHBand="1" w:evenHBand="0" w:firstRowFirstColumn="0" w:firstRowLastColumn="0" w:lastRowFirstColumn="0" w:lastRowLastColumn="0"/>
            </w:pPr>
          </w:p>
          <w:p w:rsidR="006E7642" w:rsidRPr="006E7642" w:rsidRDefault="006E7642" w:rsidP="002B72C7">
            <w:pPr>
              <w:cnfStyle w:val="000000100000" w:firstRow="0" w:lastRow="0" w:firstColumn="0" w:lastColumn="0" w:oddVBand="0" w:evenVBand="0" w:oddHBand="1" w:evenHBand="0" w:firstRowFirstColumn="0" w:firstRowLastColumn="0" w:lastRowFirstColumn="0" w:lastRowLastColumn="0"/>
            </w:pPr>
            <w:r w:rsidRPr="006E7642">
              <w:t>0.5-1kmg /24hrs</w:t>
            </w:r>
          </w:p>
        </w:tc>
        <w:tc>
          <w:tcPr>
            <w:tcW w:w="2412" w:type="dxa"/>
          </w:tcPr>
          <w:p w:rsidR="006E7642" w:rsidRPr="006E7642" w:rsidRDefault="006E7642" w:rsidP="002B72C7">
            <w:pPr>
              <w:cnfStyle w:val="000000100000" w:firstRow="0" w:lastRow="0" w:firstColumn="0" w:lastColumn="0" w:oddVBand="0" w:evenVBand="0" w:oddHBand="1" w:evenHBand="0" w:firstRowFirstColumn="0" w:firstRowLastColumn="0" w:lastRowFirstColumn="0" w:lastRowLastColumn="0"/>
            </w:pPr>
            <w:r w:rsidRPr="006E7642">
              <w:t>Repeated hourly as necessary</w:t>
            </w:r>
          </w:p>
          <w:p w:rsidR="006E7642" w:rsidRPr="006E7642" w:rsidRDefault="006E7642" w:rsidP="002B72C7">
            <w:pPr>
              <w:cnfStyle w:val="000000100000" w:firstRow="0" w:lastRow="0" w:firstColumn="0" w:lastColumn="0" w:oddVBand="0" w:evenVBand="0" w:oddHBand="1" w:evenHBand="0" w:firstRowFirstColumn="0" w:firstRowLastColumn="0" w:lastRowFirstColumn="0" w:lastRowLastColumn="0"/>
            </w:pPr>
          </w:p>
          <w:p w:rsidR="006E7642" w:rsidRPr="006E7642" w:rsidRDefault="006E7642" w:rsidP="002B72C7">
            <w:pPr>
              <w:cnfStyle w:val="000000100000" w:firstRow="0" w:lastRow="0" w:firstColumn="0" w:lastColumn="0" w:oddVBand="0" w:evenVBand="0" w:oddHBand="1" w:evenHBand="0" w:firstRowFirstColumn="0" w:firstRowLastColumn="0" w:lastRowFirstColumn="0" w:lastRowLastColumn="0"/>
            </w:pPr>
          </w:p>
          <w:p w:rsidR="006E7642" w:rsidRPr="006E7642" w:rsidRDefault="006E7642" w:rsidP="002B72C7">
            <w:pPr>
              <w:cnfStyle w:val="000000100000" w:firstRow="0" w:lastRow="0" w:firstColumn="0" w:lastColumn="0" w:oddVBand="0" w:evenVBand="0" w:oddHBand="1" w:evenHBand="0" w:firstRowFirstColumn="0" w:firstRowLastColumn="0" w:lastRowFirstColumn="0" w:lastRowLastColumn="0"/>
            </w:pPr>
          </w:p>
          <w:p w:rsidR="006E7642" w:rsidRPr="006E7642" w:rsidRDefault="006E7642" w:rsidP="002B72C7">
            <w:pPr>
              <w:cnfStyle w:val="000000100000" w:firstRow="0" w:lastRow="0" w:firstColumn="0" w:lastColumn="0" w:oddVBand="0" w:evenVBand="0" w:oddHBand="1" w:evenHBand="0" w:firstRowFirstColumn="0" w:firstRowLastColumn="0" w:lastRowFirstColumn="0" w:lastRowLastColumn="0"/>
            </w:pPr>
          </w:p>
          <w:p w:rsidR="006E7642" w:rsidRPr="006E7642" w:rsidRDefault="006E7642" w:rsidP="002B72C7">
            <w:pPr>
              <w:cnfStyle w:val="000000100000" w:firstRow="0" w:lastRow="0" w:firstColumn="0" w:lastColumn="0" w:oddVBand="0" w:evenVBand="0" w:oddHBand="1" w:evenHBand="0" w:firstRowFirstColumn="0" w:firstRowLastColumn="0" w:lastRowFirstColumn="0" w:lastRowLastColumn="0"/>
            </w:pPr>
            <w:r w:rsidRPr="006E7642">
              <w:t>Over 24 hours</w:t>
            </w:r>
          </w:p>
        </w:tc>
        <w:tc>
          <w:tcPr>
            <w:tcW w:w="2407" w:type="dxa"/>
          </w:tcPr>
          <w:p w:rsidR="006E7642" w:rsidRPr="006E7642" w:rsidRDefault="006E7642" w:rsidP="002B72C7">
            <w:pPr>
              <w:cnfStyle w:val="000000100000" w:firstRow="0" w:lastRow="0" w:firstColumn="0" w:lastColumn="0" w:oddVBand="0" w:evenVBand="0" w:oddHBand="1" w:evenHBand="0" w:firstRowFirstColumn="0" w:firstRowLastColumn="0" w:lastRowFirstColumn="0" w:lastRowLastColumn="0"/>
            </w:pPr>
            <w:r w:rsidRPr="006E7642">
              <w:t>Buccal or intranasal</w:t>
            </w:r>
          </w:p>
          <w:p w:rsidR="006E7642" w:rsidRPr="006E7642" w:rsidRDefault="006E7642" w:rsidP="002B72C7">
            <w:pPr>
              <w:cnfStyle w:val="000000100000" w:firstRow="0" w:lastRow="0" w:firstColumn="0" w:lastColumn="0" w:oddVBand="0" w:evenVBand="0" w:oddHBand="1" w:evenHBand="0" w:firstRowFirstColumn="0" w:firstRowLastColumn="0" w:lastRowFirstColumn="0" w:lastRowLastColumn="0"/>
            </w:pPr>
          </w:p>
          <w:p w:rsidR="006E7642" w:rsidRPr="006E7642" w:rsidRDefault="006E7642" w:rsidP="002B72C7">
            <w:pPr>
              <w:cnfStyle w:val="000000100000" w:firstRow="0" w:lastRow="0" w:firstColumn="0" w:lastColumn="0" w:oddVBand="0" w:evenVBand="0" w:oddHBand="1" w:evenHBand="0" w:firstRowFirstColumn="0" w:firstRowLastColumn="0" w:lastRowFirstColumn="0" w:lastRowLastColumn="0"/>
            </w:pPr>
            <w:r w:rsidRPr="006E7642">
              <w:t xml:space="preserve">Oral </w:t>
            </w:r>
          </w:p>
          <w:p w:rsidR="006E7642" w:rsidRPr="006E7642" w:rsidRDefault="006E7642" w:rsidP="002B72C7">
            <w:pPr>
              <w:cnfStyle w:val="000000100000" w:firstRow="0" w:lastRow="0" w:firstColumn="0" w:lastColumn="0" w:oddVBand="0" w:evenVBand="0" w:oddHBand="1" w:evenHBand="0" w:firstRowFirstColumn="0" w:firstRowLastColumn="0" w:lastRowFirstColumn="0" w:lastRowLastColumn="0"/>
            </w:pPr>
          </w:p>
          <w:p w:rsidR="006E7642" w:rsidRPr="006E7642" w:rsidRDefault="008F37A4" w:rsidP="002B72C7">
            <w:pPr>
              <w:cnfStyle w:val="000000100000" w:firstRow="0" w:lastRow="0" w:firstColumn="0" w:lastColumn="0" w:oddVBand="0" w:evenVBand="0" w:oddHBand="1" w:evenHBand="0" w:firstRowFirstColumn="0" w:firstRowLastColumn="0" w:lastRowFirstColumn="0" w:lastRowLastColumn="0"/>
            </w:pPr>
            <w:r w:rsidRPr="006E7642">
              <w:t>Sub cut</w:t>
            </w:r>
            <w:r w:rsidR="006E7642" w:rsidRPr="006E7642">
              <w:t xml:space="preserve"> or iv</w:t>
            </w:r>
          </w:p>
          <w:p w:rsidR="006E7642" w:rsidRPr="006E7642" w:rsidRDefault="006E7642" w:rsidP="002B72C7">
            <w:pPr>
              <w:cnfStyle w:val="000000100000" w:firstRow="0" w:lastRow="0" w:firstColumn="0" w:lastColumn="0" w:oddVBand="0" w:evenVBand="0" w:oddHBand="1" w:evenHBand="0" w:firstRowFirstColumn="0" w:firstRowLastColumn="0" w:lastRowFirstColumn="0" w:lastRowLastColumn="0"/>
            </w:pPr>
          </w:p>
          <w:p w:rsidR="006E7642" w:rsidRPr="006E7642" w:rsidRDefault="008F37A4" w:rsidP="002B72C7">
            <w:pPr>
              <w:cnfStyle w:val="000000100000" w:firstRow="0" w:lastRow="0" w:firstColumn="0" w:lastColumn="0" w:oddVBand="0" w:evenVBand="0" w:oddHBand="1" w:evenHBand="0" w:firstRowFirstColumn="0" w:firstRowLastColumn="0" w:lastRowFirstColumn="0" w:lastRowLastColumn="0"/>
            </w:pPr>
            <w:r w:rsidRPr="006E7642">
              <w:t>Sub cut</w:t>
            </w:r>
            <w:r w:rsidR="006E7642" w:rsidRPr="006E7642">
              <w:t xml:space="preserve"> or iv infusion</w:t>
            </w:r>
          </w:p>
        </w:tc>
      </w:tr>
      <w:tr w:rsidR="006E7642" w:rsidTr="006E7642">
        <w:tc>
          <w:tcPr>
            <w:cnfStyle w:val="001000000000" w:firstRow="0" w:lastRow="0" w:firstColumn="1" w:lastColumn="0" w:oddVBand="0" w:evenVBand="0" w:oddHBand="0" w:evenHBand="0" w:firstRowFirstColumn="0" w:firstRowLastColumn="0" w:lastRowFirstColumn="0" w:lastRowLastColumn="0"/>
            <w:tcW w:w="1394" w:type="dxa"/>
          </w:tcPr>
          <w:p w:rsidR="006E7642" w:rsidRDefault="006E7642" w:rsidP="002B72C7">
            <w:r>
              <w:t>Dyspnoea</w:t>
            </w:r>
          </w:p>
        </w:tc>
        <w:tc>
          <w:tcPr>
            <w:tcW w:w="1720" w:type="dxa"/>
          </w:tcPr>
          <w:p w:rsidR="006E7642" w:rsidRPr="006E7642" w:rsidRDefault="006E7642" w:rsidP="002B72C7">
            <w:pPr>
              <w:cnfStyle w:val="000000000000" w:firstRow="0" w:lastRow="0" w:firstColumn="0" w:lastColumn="0" w:oddVBand="0" w:evenVBand="0" w:oddHBand="0" w:evenHBand="0" w:firstRowFirstColumn="0" w:firstRowLastColumn="0" w:lastRowFirstColumn="0" w:lastRowLastColumn="0"/>
              <w:rPr>
                <w:b/>
                <w:bCs/>
              </w:rPr>
            </w:pPr>
            <w:r w:rsidRPr="006E7642">
              <w:rPr>
                <w:b/>
                <w:bCs/>
              </w:rPr>
              <w:t>Morphine</w:t>
            </w:r>
          </w:p>
          <w:p w:rsidR="006E7642" w:rsidRPr="006E7642" w:rsidRDefault="006E7642" w:rsidP="002B72C7">
            <w:pPr>
              <w:cnfStyle w:val="000000000000" w:firstRow="0" w:lastRow="0" w:firstColumn="0" w:lastColumn="0" w:oddVBand="0" w:evenVBand="0" w:oddHBand="0" w:evenHBand="0" w:firstRowFirstColumn="0" w:firstRowLastColumn="0" w:lastRowFirstColumn="0" w:lastRowLastColumn="0"/>
              <w:rPr>
                <w:b/>
                <w:bCs/>
              </w:rPr>
            </w:pPr>
          </w:p>
          <w:p w:rsidR="006E7642" w:rsidRPr="006E7642" w:rsidRDefault="006E7642" w:rsidP="002B72C7">
            <w:pPr>
              <w:cnfStyle w:val="000000000000" w:firstRow="0" w:lastRow="0" w:firstColumn="0" w:lastColumn="0" w:oddVBand="0" w:evenVBand="0" w:oddHBand="0" w:evenHBand="0" w:firstRowFirstColumn="0" w:firstRowLastColumn="0" w:lastRowFirstColumn="0" w:lastRowLastColumn="0"/>
              <w:rPr>
                <w:b/>
                <w:bCs/>
              </w:rPr>
            </w:pPr>
          </w:p>
          <w:p w:rsidR="006E7642" w:rsidRPr="006E7642" w:rsidRDefault="006E7642" w:rsidP="002B72C7">
            <w:pPr>
              <w:cnfStyle w:val="000000000000" w:firstRow="0" w:lastRow="0" w:firstColumn="0" w:lastColumn="0" w:oddVBand="0" w:evenVBand="0" w:oddHBand="0" w:evenHBand="0" w:firstRowFirstColumn="0" w:firstRowLastColumn="0" w:lastRowFirstColumn="0" w:lastRowLastColumn="0"/>
              <w:rPr>
                <w:b/>
                <w:bCs/>
              </w:rPr>
            </w:pPr>
          </w:p>
          <w:p w:rsidR="006E7642" w:rsidRPr="006E7642" w:rsidRDefault="006E7642" w:rsidP="002B72C7">
            <w:pPr>
              <w:cnfStyle w:val="000000000000" w:firstRow="0" w:lastRow="0" w:firstColumn="0" w:lastColumn="0" w:oddVBand="0" w:evenVBand="0" w:oddHBand="0" w:evenHBand="0" w:firstRowFirstColumn="0" w:firstRowLastColumn="0" w:lastRowFirstColumn="0" w:lastRowLastColumn="0"/>
              <w:rPr>
                <w:b/>
                <w:bCs/>
              </w:rPr>
            </w:pPr>
          </w:p>
          <w:p w:rsidR="006E7642" w:rsidRPr="006E7642" w:rsidRDefault="006E7642" w:rsidP="002B72C7">
            <w:pPr>
              <w:cnfStyle w:val="000000000000" w:firstRow="0" w:lastRow="0" w:firstColumn="0" w:lastColumn="0" w:oddVBand="0" w:evenVBand="0" w:oddHBand="0" w:evenHBand="0" w:firstRowFirstColumn="0" w:firstRowLastColumn="0" w:lastRowFirstColumn="0" w:lastRowLastColumn="0"/>
              <w:rPr>
                <w:b/>
                <w:bCs/>
              </w:rPr>
            </w:pPr>
          </w:p>
          <w:p w:rsidR="006E7642" w:rsidRPr="006E7642" w:rsidRDefault="006E7642" w:rsidP="002B72C7">
            <w:pPr>
              <w:cnfStyle w:val="000000000000" w:firstRow="0" w:lastRow="0" w:firstColumn="0" w:lastColumn="0" w:oddVBand="0" w:evenVBand="0" w:oddHBand="0" w:evenHBand="0" w:firstRowFirstColumn="0" w:firstRowLastColumn="0" w:lastRowFirstColumn="0" w:lastRowLastColumn="0"/>
              <w:rPr>
                <w:b/>
                <w:bCs/>
              </w:rPr>
            </w:pPr>
            <w:r w:rsidRPr="006E7642">
              <w:rPr>
                <w:b/>
                <w:bCs/>
              </w:rPr>
              <w:t>Midazolam</w:t>
            </w:r>
          </w:p>
        </w:tc>
        <w:tc>
          <w:tcPr>
            <w:tcW w:w="2835" w:type="dxa"/>
          </w:tcPr>
          <w:p w:rsidR="006E7642" w:rsidRPr="006E7642" w:rsidRDefault="006E7642" w:rsidP="002B72C7">
            <w:pPr>
              <w:cnfStyle w:val="000000000000" w:firstRow="0" w:lastRow="0" w:firstColumn="0" w:lastColumn="0" w:oddVBand="0" w:evenVBand="0" w:oddHBand="0" w:evenHBand="0" w:firstRowFirstColumn="0" w:firstRowLastColumn="0" w:lastRowFirstColumn="0" w:lastRowLastColumn="0"/>
            </w:pPr>
            <w:r w:rsidRPr="006E7642">
              <w:t>10-20 micrograms/kg if opiod naïve</w:t>
            </w:r>
          </w:p>
          <w:p w:rsidR="006E7642" w:rsidRPr="006E7642" w:rsidRDefault="006E7642" w:rsidP="002B72C7">
            <w:pPr>
              <w:cnfStyle w:val="000000000000" w:firstRow="0" w:lastRow="0" w:firstColumn="0" w:lastColumn="0" w:oddVBand="0" w:evenVBand="0" w:oddHBand="0" w:evenHBand="0" w:firstRowFirstColumn="0" w:firstRowLastColumn="0" w:lastRowFirstColumn="0" w:lastRowLastColumn="0"/>
            </w:pPr>
          </w:p>
          <w:p w:rsidR="006E7642" w:rsidRPr="006E7642" w:rsidRDefault="006E7642" w:rsidP="002B72C7">
            <w:pPr>
              <w:cnfStyle w:val="000000000000" w:firstRow="0" w:lastRow="0" w:firstColumn="0" w:lastColumn="0" w:oddVBand="0" w:evenVBand="0" w:oddHBand="0" w:evenHBand="0" w:firstRowFirstColumn="0" w:firstRowLastColumn="0" w:lastRowFirstColumn="0" w:lastRowLastColumn="0"/>
            </w:pPr>
            <w:r w:rsidRPr="006E7642">
              <w:t>40-60 micrograms / kg/24hrs</w:t>
            </w:r>
          </w:p>
          <w:p w:rsidR="006E7642" w:rsidRPr="006E7642" w:rsidRDefault="006E7642" w:rsidP="002B72C7">
            <w:pPr>
              <w:cnfStyle w:val="000000000000" w:firstRow="0" w:lastRow="0" w:firstColumn="0" w:lastColumn="0" w:oddVBand="0" w:evenVBand="0" w:oddHBand="0" w:evenHBand="0" w:firstRowFirstColumn="0" w:firstRowLastColumn="0" w:lastRowFirstColumn="0" w:lastRowLastColumn="0"/>
            </w:pPr>
          </w:p>
          <w:p w:rsidR="006E7642" w:rsidRPr="006E7642" w:rsidRDefault="006E7642" w:rsidP="002B72C7">
            <w:pPr>
              <w:cnfStyle w:val="000000000000" w:firstRow="0" w:lastRow="0" w:firstColumn="0" w:lastColumn="0" w:oddVBand="0" w:evenVBand="0" w:oddHBand="0" w:evenHBand="0" w:firstRowFirstColumn="0" w:firstRowLastColumn="0" w:lastRowFirstColumn="0" w:lastRowLastColumn="0"/>
            </w:pPr>
          </w:p>
          <w:p w:rsidR="006E7642" w:rsidRPr="006E7642" w:rsidRDefault="006E7642" w:rsidP="006E7642">
            <w:pPr>
              <w:cnfStyle w:val="000000000000" w:firstRow="0" w:lastRow="0" w:firstColumn="0" w:lastColumn="0" w:oddVBand="0" w:evenVBand="0" w:oddHBand="0" w:evenHBand="0" w:firstRowFirstColumn="0" w:firstRowLastColumn="0" w:lastRowFirstColumn="0" w:lastRowLastColumn="0"/>
            </w:pPr>
            <w:r w:rsidRPr="006E7642">
              <w:t>25micrograms/kg</w:t>
            </w:r>
          </w:p>
          <w:p w:rsidR="006E7642" w:rsidRPr="006E7642" w:rsidRDefault="006E7642" w:rsidP="006E7642">
            <w:pPr>
              <w:cnfStyle w:val="000000000000" w:firstRow="0" w:lastRow="0" w:firstColumn="0" w:lastColumn="0" w:oddVBand="0" w:evenVBand="0" w:oddHBand="0" w:evenHBand="0" w:firstRowFirstColumn="0" w:firstRowLastColumn="0" w:lastRowFirstColumn="0" w:lastRowLastColumn="0"/>
            </w:pPr>
          </w:p>
          <w:p w:rsidR="006E7642" w:rsidRPr="006E7642" w:rsidRDefault="006E7642" w:rsidP="006E7642">
            <w:pPr>
              <w:cnfStyle w:val="000000000000" w:firstRow="0" w:lastRow="0" w:firstColumn="0" w:lastColumn="0" w:oddVBand="0" w:evenVBand="0" w:oddHBand="0" w:evenHBand="0" w:firstRowFirstColumn="0" w:firstRowLastColumn="0" w:lastRowFirstColumn="0" w:lastRowLastColumn="0"/>
            </w:pPr>
            <w:r w:rsidRPr="006E7642">
              <w:t>50 micrograms/kg</w:t>
            </w:r>
          </w:p>
          <w:p w:rsidR="006E7642" w:rsidRPr="006E7642" w:rsidRDefault="006E7642" w:rsidP="006E7642">
            <w:pPr>
              <w:cnfStyle w:val="000000000000" w:firstRow="0" w:lastRow="0" w:firstColumn="0" w:lastColumn="0" w:oddVBand="0" w:evenVBand="0" w:oddHBand="0" w:evenHBand="0" w:firstRowFirstColumn="0" w:firstRowLastColumn="0" w:lastRowFirstColumn="0" w:lastRowLastColumn="0"/>
            </w:pPr>
          </w:p>
          <w:p w:rsidR="006E7642" w:rsidRPr="006E7642" w:rsidRDefault="006E7642" w:rsidP="006E7642">
            <w:pPr>
              <w:cnfStyle w:val="000000000000" w:firstRow="0" w:lastRow="0" w:firstColumn="0" w:lastColumn="0" w:oddVBand="0" w:evenVBand="0" w:oddHBand="0" w:evenHBand="0" w:firstRowFirstColumn="0" w:firstRowLastColumn="0" w:lastRowFirstColumn="0" w:lastRowLastColumn="0"/>
            </w:pPr>
            <w:r w:rsidRPr="006E7642">
              <w:t>25 micrograms/kg</w:t>
            </w:r>
          </w:p>
          <w:p w:rsidR="006E7642" w:rsidRPr="006E7642" w:rsidRDefault="006E7642" w:rsidP="006E7642">
            <w:pPr>
              <w:cnfStyle w:val="000000000000" w:firstRow="0" w:lastRow="0" w:firstColumn="0" w:lastColumn="0" w:oddVBand="0" w:evenVBand="0" w:oddHBand="0" w:evenHBand="0" w:firstRowFirstColumn="0" w:firstRowLastColumn="0" w:lastRowFirstColumn="0" w:lastRowLastColumn="0"/>
            </w:pPr>
          </w:p>
          <w:p w:rsidR="006E7642" w:rsidRPr="006E7642" w:rsidRDefault="006E7642" w:rsidP="006E7642">
            <w:pPr>
              <w:cnfStyle w:val="000000000000" w:firstRow="0" w:lastRow="0" w:firstColumn="0" w:lastColumn="0" w:oddVBand="0" w:evenVBand="0" w:oddHBand="0" w:evenHBand="0" w:firstRowFirstColumn="0" w:firstRowLastColumn="0" w:lastRowFirstColumn="0" w:lastRowLastColumn="0"/>
            </w:pPr>
            <w:r w:rsidRPr="006E7642">
              <w:t>0.5-1kmg /24hrs</w:t>
            </w:r>
          </w:p>
        </w:tc>
        <w:tc>
          <w:tcPr>
            <w:tcW w:w="2412" w:type="dxa"/>
          </w:tcPr>
          <w:p w:rsidR="006E7642" w:rsidRPr="006E7642" w:rsidRDefault="006E7642" w:rsidP="006E764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auto"/>
                <w:sz w:val="22"/>
                <w:szCs w:val="22"/>
              </w:rPr>
            </w:pPr>
            <w:r w:rsidRPr="006E7642">
              <w:rPr>
                <w:rFonts w:asciiTheme="minorHAnsi" w:hAnsiTheme="minorHAnsi" w:cstheme="minorBidi"/>
                <w:color w:val="auto"/>
                <w:sz w:val="22"/>
                <w:szCs w:val="22"/>
              </w:rPr>
              <w:t xml:space="preserve">every 6-8 hours adjusted to response </w:t>
            </w:r>
          </w:p>
          <w:p w:rsidR="006E7642" w:rsidRPr="006E7642" w:rsidRDefault="006E7642" w:rsidP="006E7642">
            <w:pPr>
              <w:cnfStyle w:val="000000000000" w:firstRow="0" w:lastRow="0" w:firstColumn="0" w:lastColumn="0" w:oddVBand="0" w:evenVBand="0" w:oddHBand="0" w:evenHBand="0" w:firstRowFirstColumn="0" w:firstRowLastColumn="0" w:lastRowFirstColumn="0" w:lastRowLastColumn="0"/>
            </w:pPr>
          </w:p>
          <w:p w:rsidR="006E7642" w:rsidRPr="006E7642" w:rsidRDefault="006E7642" w:rsidP="006E7642">
            <w:pPr>
              <w:cnfStyle w:val="000000000000" w:firstRow="0" w:lastRow="0" w:firstColumn="0" w:lastColumn="0" w:oddVBand="0" w:evenVBand="0" w:oddHBand="0" w:evenHBand="0" w:firstRowFirstColumn="0" w:firstRowLastColumn="0" w:lastRowFirstColumn="0" w:lastRowLastColumn="0"/>
            </w:pPr>
            <w:r w:rsidRPr="006E7642">
              <w:t>Over 24 hours adjusted to response</w:t>
            </w:r>
          </w:p>
          <w:p w:rsidR="006E7642" w:rsidRPr="006E7642" w:rsidRDefault="006E7642" w:rsidP="006E7642">
            <w:pPr>
              <w:cnfStyle w:val="000000000000" w:firstRow="0" w:lastRow="0" w:firstColumn="0" w:lastColumn="0" w:oddVBand="0" w:evenVBand="0" w:oddHBand="0" w:evenHBand="0" w:firstRowFirstColumn="0" w:firstRowLastColumn="0" w:lastRowFirstColumn="0" w:lastRowLastColumn="0"/>
            </w:pPr>
          </w:p>
          <w:p w:rsidR="006E7642" w:rsidRDefault="006E7642" w:rsidP="006E7642">
            <w:pPr>
              <w:cnfStyle w:val="000000000000" w:firstRow="0" w:lastRow="0" w:firstColumn="0" w:lastColumn="0" w:oddVBand="0" w:evenVBand="0" w:oddHBand="0" w:evenHBand="0" w:firstRowFirstColumn="0" w:firstRowLastColumn="0" w:lastRowFirstColumn="0" w:lastRowLastColumn="0"/>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95250</wp:posOffset>
                      </wp:positionV>
                      <wp:extent cx="209550" cy="790575"/>
                      <wp:effectExtent l="0" t="0" r="19050" b="28575"/>
                      <wp:wrapNone/>
                      <wp:docPr id="2" name="Right Brace 2"/>
                      <wp:cNvGraphicFramePr/>
                      <a:graphic xmlns:a="http://schemas.openxmlformats.org/drawingml/2006/main">
                        <a:graphicData uri="http://schemas.microsoft.com/office/word/2010/wordprocessingShape">
                          <wps:wsp>
                            <wps:cNvSpPr/>
                            <wps:spPr>
                              <a:xfrm>
                                <a:off x="0" y="0"/>
                                <a:ext cx="209550" cy="7905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C9A3F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2.1pt;margin-top:7.5pt;width:16.5pt;height:6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" adj="477" strokecolor="#4579b8 [3044]"/>
                  </w:pict>
                </mc:Fallback>
              </mc:AlternateContent>
            </w:r>
            <w:r>
              <w:t xml:space="preserve">   </w:t>
            </w:r>
          </w:p>
          <w:p w:rsidR="006E7642" w:rsidRDefault="006E7642" w:rsidP="006E7642">
            <w:pPr>
              <w:cnfStyle w:val="000000000000" w:firstRow="0" w:lastRow="0" w:firstColumn="0" w:lastColumn="0" w:oddVBand="0" w:evenVBand="0" w:oddHBand="0" w:evenHBand="0" w:firstRowFirstColumn="0" w:firstRowLastColumn="0" w:lastRowFirstColumn="0" w:lastRowLastColumn="0"/>
            </w:pPr>
          </w:p>
          <w:p w:rsidR="006E7642" w:rsidRDefault="006E7642" w:rsidP="006E7642">
            <w:pPr>
              <w:cnfStyle w:val="000000000000" w:firstRow="0" w:lastRow="0" w:firstColumn="0" w:lastColumn="0" w:oddVBand="0" w:evenVBand="0" w:oddHBand="0" w:evenHBand="0" w:firstRowFirstColumn="0" w:firstRowLastColumn="0" w:lastRowFirstColumn="0" w:lastRowLastColumn="0"/>
            </w:pPr>
            <w:r>
              <w:t xml:space="preserve">    </w:t>
            </w:r>
            <w:r w:rsidRPr="006E7642">
              <w:t xml:space="preserve">Repeated hourly as </w:t>
            </w:r>
          </w:p>
          <w:p w:rsidR="006E7642" w:rsidRPr="006E7642" w:rsidRDefault="006E7642" w:rsidP="006E7642">
            <w:pPr>
              <w:cnfStyle w:val="000000000000" w:firstRow="0" w:lastRow="0" w:firstColumn="0" w:lastColumn="0" w:oddVBand="0" w:evenVBand="0" w:oddHBand="0" w:evenHBand="0" w:firstRowFirstColumn="0" w:firstRowLastColumn="0" w:lastRowFirstColumn="0" w:lastRowLastColumn="0"/>
            </w:pPr>
            <w:r>
              <w:t xml:space="preserve">            </w:t>
            </w:r>
            <w:r w:rsidRPr="006E7642">
              <w:t>necessary</w:t>
            </w:r>
          </w:p>
          <w:p w:rsidR="006E7642" w:rsidRPr="006E7642" w:rsidRDefault="006E7642" w:rsidP="006E7642">
            <w:pPr>
              <w:cnfStyle w:val="000000000000" w:firstRow="0" w:lastRow="0" w:firstColumn="0" w:lastColumn="0" w:oddVBand="0" w:evenVBand="0" w:oddHBand="0" w:evenHBand="0" w:firstRowFirstColumn="0" w:firstRowLastColumn="0" w:lastRowFirstColumn="0" w:lastRowLastColumn="0"/>
            </w:pPr>
          </w:p>
          <w:p w:rsidR="006E7642" w:rsidRPr="006E7642" w:rsidRDefault="006E7642" w:rsidP="006E7642">
            <w:pPr>
              <w:cnfStyle w:val="000000000000" w:firstRow="0" w:lastRow="0" w:firstColumn="0" w:lastColumn="0" w:oddVBand="0" w:evenVBand="0" w:oddHBand="0" w:evenHBand="0" w:firstRowFirstColumn="0" w:firstRowLastColumn="0" w:lastRowFirstColumn="0" w:lastRowLastColumn="0"/>
            </w:pPr>
          </w:p>
          <w:p w:rsidR="006E7642" w:rsidRPr="006E7642" w:rsidRDefault="006E7642" w:rsidP="006E7642">
            <w:pPr>
              <w:cnfStyle w:val="000000000000" w:firstRow="0" w:lastRow="0" w:firstColumn="0" w:lastColumn="0" w:oddVBand="0" w:evenVBand="0" w:oddHBand="0" w:evenHBand="0" w:firstRowFirstColumn="0" w:firstRowLastColumn="0" w:lastRowFirstColumn="0" w:lastRowLastColumn="0"/>
            </w:pPr>
            <w:r w:rsidRPr="006E7642">
              <w:t>Over 24 hours</w:t>
            </w:r>
          </w:p>
        </w:tc>
        <w:tc>
          <w:tcPr>
            <w:tcW w:w="2407" w:type="dxa"/>
          </w:tcPr>
          <w:p w:rsidR="006E7642" w:rsidRPr="006E7642" w:rsidRDefault="006E7642" w:rsidP="006E7642">
            <w:pPr>
              <w:cnfStyle w:val="000000000000" w:firstRow="0" w:lastRow="0" w:firstColumn="0" w:lastColumn="0" w:oddVBand="0" w:evenVBand="0" w:oddHBand="0" w:evenHBand="0" w:firstRowFirstColumn="0" w:firstRowLastColumn="0" w:lastRowFirstColumn="0" w:lastRowLastColumn="0"/>
            </w:pPr>
            <w:r w:rsidRPr="006E7642">
              <w:t>Oral/ Sub cut or IV (over at least 5 minutes)</w:t>
            </w:r>
          </w:p>
          <w:p w:rsidR="006E7642" w:rsidRPr="006E7642" w:rsidRDefault="006E7642" w:rsidP="006E7642">
            <w:pPr>
              <w:cnfStyle w:val="000000000000" w:firstRow="0" w:lastRow="0" w:firstColumn="0" w:lastColumn="0" w:oddVBand="0" w:evenVBand="0" w:oddHBand="0" w:evenHBand="0" w:firstRowFirstColumn="0" w:firstRowLastColumn="0" w:lastRowFirstColumn="0" w:lastRowLastColumn="0"/>
            </w:pPr>
          </w:p>
          <w:p w:rsidR="006E7642" w:rsidRPr="006E7642" w:rsidRDefault="006E7642" w:rsidP="006E7642">
            <w:pPr>
              <w:cnfStyle w:val="000000000000" w:firstRow="0" w:lastRow="0" w:firstColumn="0" w:lastColumn="0" w:oddVBand="0" w:evenVBand="0" w:oddHBand="0" w:evenHBand="0" w:firstRowFirstColumn="0" w:firstRowLastColumn="0" w:lastRowFirstColumn="0" w:lastRowLastColumn="0"/>
            </w:pPr>
            <w:r w:rsidRPr="006E7642">
              <w:t xml:space="preserve">Continuous </w:t>
            </w:r>
            <w:r>
              <w:t>SC</w:t>
            </w:r>
            <w:r w:rsidRPr="006E7642">
              <w:t xml:space="preserve"> or IV infusion</w:t>
            </w:r>
          </w:p>
          <w:p w:rsidR="006E7642" w:rsidRPr="006E7642" w:rsidRDefault="006E7642" w:rsidP="006E7642">
            <w:pPr>
              <w:cnfStyle w:val="000000000000" w:firstRow="0" w:lastRow="0" w:firstColumn="0" w:lastColumn="0" w:oddVBand="0" w:evenVBand="0" w:oddHBand="0" w:evenHBand="0" w:firstRowFirstColumn="0" w:firstRowLastColumn="0" w:lastRowFirstColumn="0" w:lastRowLastColumn="0"/>
            </w:pPr>
          </w:p>
          <w:p w:rsidR="006E7642" w:rsidRPr="006E7642" w:rsidRDefault="006E7642" w:rsidP="006E7642">
            <w:pPr>
              <w:cnfStyle w:val="000000000000" w:firstRow="0" w:lastRow="0" w:firstColumn="0" w:lastColumn="0" w:oddVBand="0" w:evenVBand="0" w:oddHBand="0" w:evenHBand="0" w:firstRowFirstColumn="0" w:firstRowLastColumn="0" w:lastRowFirstColumn="0" w:lastRowLastColumn="0"/>
            </w:pPr>
            <w:r w:rsidRPr="006E7642">
              <w:t>Buccal or intranasal</w:t>
            </w:r>
          </w:p>
          <w:p w:rsidR="006E7642" w:rsidRPr="006E7642" w:rsidRDefault="006E7642" w:rsidP="006E7642">
            <w:pPr>
              <w:cnfStyle w:val="000000000000" w:firstRow="0" w:lastRow="0" w:firstColumn="0" w:lastColumn="0" w:oddVBand="0" w:evenVBand="0" w:oddHBand="0" w:evenHBand="0" w:firstRowFirstColumn="0" w:firstRowLastColumn="0" w:lastRowFirstColumn="0" w:lastRowLastColumn="0"/>
            </w:pPr>
            <w:r w:rsidRPr="006E7642">
              <w:t xml:space="preserve">Oral </w:t>
            </w:r>
          </w:p>
          <w:p w:rsidR="006E7642" w:rsidRPr="006E7642" w:rsidRDefault="008F37A4" w:rsidP="006E7642">
            <w:pPr>
              <w:cnfStyle w:val="000000000000" w:firstRow="0" w:lastRow="0" w:firstColumn="0" w:lastColumn="0" w:oddVBand="0" w:evenVBand="0" w:oddHBand="0" w:evenHBand="0" w:firstRowFirstColumn="0" w:firstRowLastColumn="0" w:lastRowFirstColumn="0" w:lastRowLastColumn="0"/>
            </w:pPr>
            <w:r w:rsidRPr="006E7642">
              <w:t>Sub cut</w:t>
            </w:r>
            <w:r w:rsidR="006E7642" w:rsidRPr="006E7642">
              <w:t xml:space="preserve"> or iv</w:t>
            </w:r>
          </w:p>
          <w:p w:rsidR="006E7642" w:rsidRPr="006E7642" w:rsidRDefault="006E7642" w:rsidP="006E7642">
            <w:pPr>
              <w:cnfStyle w:val="000000000000" w:firstRow="0" w:lastRow="0" w:firstColumn="0" w:lastColumn="0" w:oddVBand="0" w:evenVBand="0" w:oddHBand="0" w:evenHBand="0" w:firstRowFirstColumn="0" w:firstRowLastColumn="0" w:lastRowFirstColumn="0" w:lastRowLastColumn="0"/>
            </w:pPr>
          </w:p>
          <w:p w:rsidR="006E7642" w:rsidRPr="006E7642" w:rsidRDefault="006E7642" w:rsidP="006E7642">
            <w:pPr>
              <w:cnfStyle w:val="000000000000" w:firstRow="0" w:lastRow="0" w:firstColumn="0" w:lastColumn="0" w:oddVBand="0" w:evenVBand="0" w:oddHBand="0" w:evenHBand="0" w:firstRowFirstColumn="0" w:firstRowLastColumn="0" w:lastRowFirstColumn="0" w:lastRowLastColumn="0"/>
            </w:pPr>
          </w:p>
          <w:p w:rsidR="008F37A4" w:rsidRDefault="008F37A4" w:rsidP="006E7642">
            <w:pPr>
              <w:cnfStyle w:val="000000000000" w:firstRow="0" w:lastRow="0" w:firstColumn="0" w:lastColumn="0" w:oddVBand="0" w:evenVBand="0" w:oddHBand="0" w:evenHBand="0" w:firstRowFirstColumn="0" w:firstRowLastColumn="0" w:lastRowFirstColumn="0" w:lastRowLastColumn="0"/>
            </w:pPr>
          </w:p>
          <w:p w:rsidR="006E7642" w:rsidRPr="006E7642" w:rsidRDefault="008F37A4" w:rsidP="006E7642">
            <w:pPr>
              <w:cnfStyle w:val="000000000000" w:firstRow="0" w:lastRow="0" w:firstColumn="0" w:lastColumn="0" w:oddVBand="0" w:evenVBand="0" w:oddHBand="0" w:evenHBand="0" w:firstRowFirstColumn="0" w:firstRowLastColumn="0" w:lastRowFirstColumn="0" w:lastRowLastColumn="0"/>
            </w:pPr>
            <w:r w:rsidRPr="006E7642">
              <w:t>Sub cut</w:t>
            </w:r>
            <w:r w:rsidR="006E7642" w:rsidRPr="006E7642">
              <w:t xml:space="preserve"> or iv infusion</w:t>
            </w:r>
          </w:p>
        </w:tc>
      </w:tr>
    </w:tbl>
    <w:p w:rsidR="006E7642" w:rsidRPr="006E7642" w:rsidRDefault="006E7642" w:rsidP="006E7642">
      <w:pPr>
        <w:autoSpaceDE w:val="0"/>
        <w:autoSpaceDN w:val="0"/>
        <w:adjustRightInd w:val="0"/>
        <w:spacing w:after="0" w:line="240" w:lineRule="auto"/>
        <w:rPr>
          <w:rFonts w:ascii="Ubuntu Light" w:hAnsi="Ubuntu Light"/>
          <w:sz w:val="24"/>
          <w:szCs w:val="24"/>
        </w:rPr>
        <w:sectPr w:rsidR="006E7642" w:rsidRPr="006E7642">
          <w:headerReference w:type="default" r:id="rId7"/>
          <w:pgSz w:w="11905" w:h="17337"/>
          <w:pgMar w:top="1400" w:right="900" w:bottom="0" w:left="610" w:header="720" w:footer="720" w:gutter="0"/>
          <w:cols w:space="720"/>
          <w:noEndnote/>
        </w:sectPr>
      </w:pPr>
    </w:p>
    <w:p w:rsidR="006E7642" w:rsidRDefault="006E7642" w:rsidP="006E7642">
      <w:pPr>
        <w:pStyle w:val="Default"/>
        <w:rPr>
          <w:rFonts w:ascii="Ubuntu Light" w:hAnsi="Ubuntu Light"/>
          <w:b/>
          <w:bCs/>
          <w:sz w:val="36"/>
          <w:szCs w:val="36"/>
        </w:rPr>
      </w:pPr>
      <w:r>
        <w:rPr>
          <w:rFonts w:ascii="Ubuntu Light" w:hAnsi="Ubuntu Light"/>
          <w:b/>
          <w:bCs/>
          <w:sz w:val="36"/>
          <w:szCs w:val="36"/>
        </w:rPr>
        <w:lastRenderedPageBreak/>
        <w:t>Additional notes:</w:t>
      </w:r>
    </w:p>
    <w:p w:rsidR="006E7642" w:rsidRDefault="006E7642" w:rsidP="006E7642">
      <w:pPr>
        <w:pStyle w:val="Default"/>
        <w:rPr>
          <w:rFonts w:asciiTheme="minorHAnsi" w:hAnsiTheme="minorHAnsi" w:cstheme="minorBidi"/>
          <w:color w:val="auto"/>
          <w:sz w:val="22"/>
          <w:szCs w:val="22"/>
        </w:rPr>
      </w:pPr>
      <w:r w:rsidRPr="006E7642">
        <w:rPr>
          <w:rFonts w:asciiTheme="minorHAnsi" w:hAnsiTheme="minorHAnsi" w:cstheme="minorBidi"/>
          <w:color w:val="auto"/>
          <w:sz w:val="22"/>
          <w:szCs w:val="22"/>
        </w:rPr>
        <w:t>(R</w:t>
      </w:r>
      <w:r>
        <w:rPr>
          <w:rFonts w:asciiTheme="minorHAnsi" w:hAnsiTheme="minorHAnsi" w:cstheme="minorBidi"/>
          <w:color w:val="auto"/>
          <w:sz w:val="22"/>
          <w:szCs w:val="22"/>
        </w:rPr>
        <w:t>ef P</w:t>
      </w:r>
      <w:r w:rsidRPr="006E7642">
        <w:rPr>
          <w:rFonts w:asciiTheme="minorHAnsi" w:hAnsiTheme="minorHAnsi" w:cstheme="minorBidi"/>
          <w:color w:val="auto"/>
          <w:sz w:val="22"/>
          <w:szCs w:val="22"/>
        </w:rPr>
        <w:t>ractical guidance for the management of palliative care on neonatal units</w:t>
      </w:r>
      <w:r>
        <w:rPr>
          <w:rFonts w:asciiTheme="minorHAnsi" w:hAnsiTheme="minorHAnsi" w:cstheme="minorBidi"/>
          <w:color w:val="auto"/>
          <w:sz w:val="22"/>
          <w:szCs w:val="22"/>
        </w:rPr>
        <w:t xml:space="preserve"> – Chelsea and Westminster)</w:t>
      </w:r>
    </w:p>
    <w:p w:rsidR="006E7642" w:rsidRPr="006E7642" w:rsidRDefault="006E7642" w:rsidP="006E7642">
      <w:pPr>
        <w:autoSpaceDE w:val="0"/>
        <w:autoSpaceDN w:val="0"/>
        <w:adjustRightInd w:val="0"/>
        <w:spacing w:after="220" w:line="201" w:lineRule="atLeast"/>
        <w:jc w:val="both"/>
        <w:rPr>
          <w:rFonts w:ascii="Ubuntu Light" w:hAnsi="Ubuntu Light" w:cs="Ubuntu Light"/>
          <w:sz w:val="20"/>
          <w:szCs w:val="20"/>
        </w:rPr>
      </w:pPr>
    </w:p>
    <w:p w:rsidR="006E7642" w:rsidRPr="006E7642" w:rsidRDefault="006E7642" w:rsidP="006E7642">
      <w:pPr>
        <w:autoSpaceDE w:val="0"/>
        <w:autoSpaceDN w:val="0"/>
        <w:adjustRightInd w:val="0"/>
        <w:spacing w:after="220" w:line="201" w:lineRule="atLeast"/>
        <w:jc w:val="both"/>
        <w:rPr>
          <w:rFonts w:ascii="Ubuntu Light" w:hAnsi="Ubuntu Light" w:cs="Ubuntu Light"/>
          <w:b/>
          <w:bCs/>
          <w:sz w:val="20"/>
          <w:szCs w:val="20"/>
        </w:rPr>
      </w:pPr>
      <w:r w:rsidRPr="006E7642">
        <w:rPr>
          <w:rFonts w:ascii="Ubuntu Light" w:hAnsi="Ubuntu Light" w:cs="Ubuntu Light"/>
          <w:b/>
          <w:bCs/>
          <w:sz w:val="20"/>
          <w:szCs w:val="20"/>
        </w:rPr>
        <w:t xml:space="preserve">Pain </w:t>
      </w:r>
      <w:r>
        <w:rPr>
          <w:rFonts w:ascii="Ubuntu Light" w:hAnsi="Ubuntu Light" w:cs="Ubuntu Light"/>
          <w:b/>
          <w:bCs/>
          <w:sz w:val="20"/>
          <w:szCs w:val="20"/>
        </w:rPr>
        <w:t>relief</w:t>
      </w:r>
    </w:p>
    <w:p w:rsidR="006E7642" w:rsidRPr="006E7642" w:rsidRDefault="006E7642" w:rsidP="006E7642">
      <w:pPr>
        <w:autoSpaceDE w:val="0"/>
        <w:autoSpaceDN w:val="0"/>
        <w:adjustRightInd w:val="0"/>
        <w:spacing w:after="220" w:line="201" w:lineRule="atLeast"/>
        <w:ind w:left="220" w:hanging="220"/>
        <w:jc w:val="both"/>
        <w:rPr>
          <w:rFonts w:ascii="Ubuntu Light" w:hAnsi="Ubuntu Light" w:cs="Ubuntu Light"/>
          <w:sz w:val="20"/>
          <w:szCs w:val="20"/>
        </w:rPr>
      </w:pPr>
      <w:r w:rsidRPr="006E7642">
        <w:rPr>
          <w:rFonts w:ascii="Ubuntu Light" w:hAnsi="Ubuntu Light" w:cs="Ubuntu Light"/>
          <w:sz w:val="20"/>
          <w:szCs w:val="20"/>
        </w:rPr>
        <w:t>• All infants receiving palliative care must have consideration given to relief of pain and discomfort. This includes the type of medication, the dose, route of administration and the likely duration of need—consideration should be given to the use of formal tools to assess pain.</w:t>
      </w:r>
    </w:p>
    <w:p w:rsidR="006E7642" w:rsidRPr="006E7642" w:rsidRDefault="006E7642" w:rsidP="006E7642">
      <w:pPr>
        <w:autoSpaceDE w:val="0"/>
        <w:autoSpaceDN w:val="0"/>
        <w:adjustRightInd w:val="0"/>
        <w:spacing w:after="220" w:line="201" w:lineRule="atLeast"/>
        <w:ind w:left="220" w:hanging="220"/>
        <w:jc w:val="both"/>
        <w:rPr>
          <w:rFonts w:ascii="Ubuntu Light" w:hAnsi="Ubuntu Light" w:cs="Ubuntu Light"/>
          <w:sz w:val="20"/>
          <w:szCs w:val="20"/>
        </w:rPr>
      </w:pPr>
      <w:r w:rsidRPr="006E7642">
        <w:rPr>
          <w:rFonts w:ascii="Ubuntu Light" w:hAnsi="Ubuntu Light" w:cs="Ubuntu Light"/>
          <w:sz w:val="20"/>
          <w:szCs w:val="20"/>
        </w:rPr>
        <w:t>• Should the infant have intravenous access in place, this route is preferable in the immediate period after discontinuation of life-sustaining care.</w:t>
      </w:r>
    </w:p>
    <w:p w:rsidR="006E7642" w:rsidRPr="006E7642" w:rsidRDefault="006E7642" w:rsidP="006E7642">
      <w:pPr>
        <w:autoSpaceDE w:val="0"/>
        <w:autoSpaceDN w:val="0"/>
        <w:adjustRightInd w:val="0"/>
        <w:spacing w:after="220" w:line="201" w:lineRule="atLeast"/>
        <w:ind w:left="220" w:hanging="220"/>
        <w:jc w:val="both"/>
        <w:rPr>
          <w:rFonts w:ascii="Ubuntu Light" w:hAnsi="Ubuntu Light" w:cs="Ubuntu Light"/>
          <w:sz w:val="20"/>
          <w:szCs w:val="20"/>
        </w:rPr>
      </w:pPr>
      <w:r w:rsidRPr="006E7642">
        <w:rPr>
          <w:rFonts w:ascii="Ubuntu Light" w:hAnsi="Ubuntu Light" w:cs="Ubuntu Light"/>
          <w:sz w:val="20"/>
          <w:szCs w:val="20"/>
        </w:rPr>
        <w:t>• If an infant is already receiving analgesic medication this should be continued—if opiates are to be initiated, an initial bolus dose should be given before commencing an infusion so that adequate analgesia is achieved promptly. The dose may be increased or reduced depending on ongoing assessment of distress and development of tolerance—if relevant, parents should be made aware that opiates while relieving pain and distress also suppress respiratory drive and may hasten death.</w:t>
      </w:r>
    </w:p>
    <w:p w:rsidR="006E7642" w:rsidRPr="006E7642" w:rsidRDefault="006E7642" w:rsidP="006E7642">
      <w:pPr>
        <w:autoSpaceDE w:val="0"/>
        <w:autoSpaceDN w:val="0"/>
        <w:adjustRightInd w:val="0"/>
        <w:spacing w:after="220" w:line="201" w:lineRule="atLeast"/>
        <w:ind w:left="220" w:hanging="220"/>
        <w:jc w:val="both"/>
        <w:rPr>
          <w:rFonts w:ascii="Ubuntu Light" w:hAnsi="Ubuntu Light" w:cs="Ubuntu Light"/>
          <w:sz w:val="20"/>
          <w:szCs w:val="20"/>
        </w:rPr>
      </w:pPr>
      <w:r w:rsidRPr="006E7642">
        <w:rPr>
          <w:rFonts w:ascii="Ubuntu Light" w:hAnsi="Ubuntu Light" w:cs="Ubuntu Light"/>
          <w:sz w:val="20"/>
          <w:szCs w:val="20"/>
        </w:rPr>
        <w:t>• If the intravenous route is not available and adequate analgesia cannot be achieved through oral medication, a subcutaneous infusion may be necessary. Intramuscular medication is never appropriate. For rapid symptom management, buccal medication can be considered, usually in addition to longer acting medication via the enteral route or subcutaneous infusion.</w:t>
      </w:r>
    </w:p>
    <w:p w:rsidR="006E7642" w:rsidRPr="006E7642" w:rsidRDefault="006E7642" w:rsidP="006E7642">
      <w:pPr>
        <w:autoSpaceDE w:val="0"/>
        <w:autoSpaceDN w:val="0"/>
        <w:adjustRightInd w:val="0"/>
        <w:spacing w:after="220" w:line="201" w:lineRule="atLeast"/>
        <w:ind w:left="220" w:hanging="220"/>
        <w:jc w:val="both"/>
        <w:rPr>
          <w:rFonts w:ascii="Ubuntu Light" w:hAnsi="Ubuntu Light" w:cs="Ubuntu Light"/>
          <w:sz w:val="20"/>
          <w:szCs w:val="20"/>
        </w:rPr>
      </w:pPr>
      <w:r w:rsidRPr="006E7642">
        <w:rPr>
          <w:rFonts w:ascii="Ubuntu Light" w:hAnsi="Ubuntu Light" w:cs="Ubuntu Light"/>
          <w:sz w:val="20"/>
          <w:szCs w:val="20"/>
        </w:rPr>
        <w:t>• Non-narcotic analgesia such as paracetamol and oral sucrose may be used for less severe pain or in combination with narcotic analgesics.</w:t>
      </w:r>
    </w:p>
    <w:p w:rsidR="006E7642" w:rsidRPr="006E7642" w:rsidRDefault="006E7642" w:rsidP="006E7642">
      <w:pPr>
        <w:autoSpaceDE w:val="0"/>
        <w:autoSpaceDN w:val="0"/>
        <w:adjustRightInd w:val="0"/>
        <w:spacing w:after="220" w:line="201" w:lineRule="atLeast"/>
        <w:ind w:left="220" w:hanging="220"/>
        <w:jc w:val="both"/>
        <w:rPr>
          <w:rFonts w:ascii="Ubuntu Light" w:hAnsi="Ubuntu Light" w:cs="Ubuntu Light"/>
          <w:sz w:val="20"/>
          <w:szCs w:val="20"/>
        </w:rPr>
      </w:pPr>
      <w:r w:rsidRPr="006E7642">
        <w:rPr>
          <w:rFonts w:ascii="Ubuntu Light" w:hAnsi="Ubuntu Light" w:cs="Ubuntu Light"/>
          <w:sz w:val="20"/>
          <w:szCs w:val="20"/>
        </w:rPr>
        <w:t>• Non pharmacological interventions to reduce pain and discomfort should be used in conjunction with analgesic medications—these include a calm environment with minimal noise and light stimuli, non-nutritive sucking with a pacifier, music and positioning with arms and legs flexed close to the trunk using a blanket or rolls and massage.</w:t>
      </w:r>
    </w:p>
    <w:p w:rsidR="006E7642" w:rsidRPr="006E7642" w:rsidRDefault="006E7642" w:rsidP="006E7642">
      <w:pPr>
        <w:autoSpaceDE w:val="0"/>
        <w:autoSpaceDN w:val="0"/>
        <w:adjustRightInd w:val="0"/>
        <w:spacing w:after="220" w:line="201" w:lineRule="atLeast"/>
        <w:ind w:left="220" w:hanging="220"/>
        <w:jc w:val="both"/>
        <w:rPr>
          <w:rFonts w:ascii="Ubuntu Light" w:hAnsi="Ubuntu Light" w:cs="Ubuntu Light"/>
          <w:sz w:val="20"/>
          <w:szCs w:val="20"/>
        </w:rPr>
      </w:pPr>
      <w:r w:rsidRPr="006E7642">
        <w:rPr>
          <w:rFonts w:ascii="Ubuntu Light" w:hAnsi="Ubuntu Light" w:cs="Ubuntu Light"/>
          <w:sz w:val="20"/>
          <w:szCs w:val="20"/>
        </w:rPr>
        <w:t>• Assist the parents to hold their baby.</w:t>
      </w:r>
    </w:p>
    <w:p w:rsidR="006E7642" w:rsidRPr="006E7642" w:rsidRDefault="006E7642" w:rsidP="006E7642">
      <w:pPr>
        <w:autoSpaceDE w:val="0"/>
        <w:autoSpaceDN w:val="0"/>
        <w:adjustRightInd w:val="0"/>
        <w:spacing w:after="220" w:line="201" w:lineRule="atLeast"/>
        <w:ind w:left="220" w:hanging="220"/>
        <w:jc w:val="both"/>
        <w:rPr>
          <w:rFonts w:ascii="Ubuntu Light" w:hAnsi="Ubuntu Light" w:cs="Ubuntu Light"/>
          <w:sz w:val="20"/>
          <w:szCs w:val="20"/>
        </w:rPr>
      </w:pPr>
      <w:r w:rsidRPr="006E7642">
        <w:rPr>
          <w:rFonts w:ascii="Ubuntu Light" w:hAnsi="Ubuntu Light" w:cs="Ubuntu Light"/>
          <w:sz w:val="20"/>
          <w:szCs w:val="20"/>
        </w:rPr>
        <w:t>• Support continued suckling at the breast if the mother wishes.</w:t>
      </w:r>
    </w:p>
    <w:p w:rsidR="006E7642" w:rsidRPr="006E7642" w:rsidRDefault="006E7642" w:rsidP="006E7642">
      <w:pPr>
        <w:autoSpaceDE w:val="0"/>
        <w:autoSpaceDN w:val="0"/>
        <w:adjustRightInd w:val="0"/>
        <w:spacing w:after="220" w:line="201" w:lineRule="atLeast"/>
        <w:jc w:val="both"/>
        <w:rPr>
          <w:rFonts w:ascii="Ubuntu Light" w:hAnsi="Ubuntu Light" w:cs="Ubuntu Light"/>
          <w:sz w:val="20"/>
          <w:szCs w:val="20"/>
        </w:rPr>
      </w:pPr>
      <w:bookmarkStart w:id="0" w:name="_Hlk486260666"/>
      <w:r w:rsidRPr="006E7642">
        <w:rPr>
          <w:rFonts w:ascii="Ubuntu Light" w:hAnsi="Ubuntu Light" w:cs="Ubuntu Light"/>
          <w:b/>
          <w:bCs/>
          <w:sz w:val="20"/>
          <w:szCs w:val="20"/>
        </w:rPr>
        <w:t xml:space="preserve"> Fluids and nutrition</w:t>
      </w:r>
    </w:p>
    <w:bookmarkEnd w:id="0"/>
    <w:p w:rsidR="006E7642" w:rsidRPr="006E7642" w:rsidRDefault="006E7642" w:rsidP="006E7642">
      <w:pPr>
        <w:autoSpaceDE w:val="0"/>
        <w:autoSpaceDN w:val="0"/>
        <w:adjustRightInd w:val="0"/>
        <w:spacing w:after="220" w:line="201" w:lineRule="atLeast"/>
        <w:ind w:left="220"/>
        <w:jc w:val="both"/>
        <w:rPr>
          <w:rFonts w:ascii="Ubuntu Light" w:hAnsi="Ubuntu Light" w:cs="Ubuntu Light"/>
          <w:sz w:val="20"/>
          <w:szCs w:val="20"/>
        </w:rPr>
      </w:pPr>
      <w:r w:rsidRPr="006E7642">
        <w:rPr>
          <w:rFonts w:ascii="Ubuntu Light" w:hAnsi="Ubuntu Light" w:cs="Ubuntu Light"/>
          <w:sz w:val="20"/>
          <w:szCs w:val="20"/>
        </w:rPr>
        <w:t>• The goal of treatment is comfort, not the provision of nutrition.</w:t>
      </w:r>
    </w:p>
    <w:p w:rsidR="006E7642" w:rsidRPr="006E7642" w:rsidRDefault="006E7642" w:rsidP="006E7642">
      <w:pPr>
        <w:autoSpaceDE w:val="0"/>
        <w:autoSpaceDN w:val="0"/>
        <w:adjustRightInd w:val="0"/>
        <w:spacing w:after="220" w:line="201" w:lineRule="atLeast"/>
        <w:ind w:left="220"/>
        <w:jc w:val="both"/>
        <w:rPr>
          <w:rFonts w:ascii="Ubuntu Light" w:hAnsi="Ubuntu Light" w:cs="Ubuntu Light"/>
          <w:sz w:val="20"/>
          <w:szCs w:val="20"/>
        </w:rPr>
      </w:pPr>
      <w:r w:rsidRPr="006E7642">
        <w:rPr>
          <w:rFonts w:ascii="Ubuntu Light" w:hAnsi="Ubuntu Light" w:cs="Ubuntu Light"/>
          <w:sz w:val="20"/>
          <w:szCs w:val="20"/>
        </w:rPr>
        <w:t>• In those infants able to tolerate milk feeds their ongoing provision should be determined by their clinical condition and the cues that the infant demon</w:t>
      </w:r>
      <w:bookmarkStart w:id="1" w:name="_GoBack"/>
      <w:bookmarkEnd w:id="1"/>
      <w:r w:rsidRPr="006E7642">
        <w:rPr>
          <w:rFonts w:ascii="Ubuntu Light" w:hAnsi="Ubuntu Light" w:cs="Ubuntu Light"/>
          <w:sz w:val="20"/>
          <w:szCs w:val="20"/>
        </w:rPr>
        <w:t>strates.</w:t>
      </w:r>
    </w:p>
    <w:p w:rsidR="006E7642" w:rsidRPr="006E7642" w:rsidRDefault="006E7642" w:rsidP="006E7642">
      <w:pPr>
        <w:autoSpaceDE w:val="0"/>
        <w:autoSpaceDN w:val="0"/>
        <w:adjustRightInd w:val="0"/>
        <w:spacing w:after="220" w:line="201" w:lineRule="atLeast"/>
        <w:ind w:left="220"/>
        <w:jc w:val="both"/>
        <w:rPr>
          <w:rFonts w:ascii="Ubuntu Light" w:hAnsi="Ubuntu Light" w:cs="Ubuntu Light"/>
          <w:sz w:val="20"/>
          <w:szCs w:val="20"/>
        </w:rPr>
      </w:pPr>
      <w:r w:rsidRPr="006E7642">
        <w:rPr>
          <w:rFonts w:ascii="Ubuntu Light" w:hAnsi="Ubuntu Light" w:cs="Ubuntu Light"/>
          <w:sz w:val="20"/>
          <w:szCs w:val="20"/>
        </w:rPr>
        <w:t>• Oral nutrition should only be withheld if it is felt that providing it will cause pain or discomfort.</w:t>
      </w:r>
    </w:p>
    <w:p w:rsidR="006E7642" w:rsidRPr="006E7642" w:rsidRDefault="006E7642" w:rsidP="006E7642">
      <w:pPr>
        <w:autoSpaceDE w:val="0"/>
        <w:autoSpaceDN w:val="0"/>
        <w:adjustRightInd w:val="0"/>
        <w:spacing w:after="220" w:line="201" w:lineRule="atLeast"/>
        <w:ind w:left="220"/>
        <w:jc w:val="both"/>
        <w:rPr>
          <w:rFonts w:ascii="Ubuntu Light" w:hAnsi="Ubuntu Light" w:cs="Ubuntu Light"/>
          <w:sz w:val="20"/>
          <w:szCs w:val="20"/>
        </w:rPr>
      </w:pPr>
      <w:r w:rsidRPr="006E7642">
        <w:rPr>
          <w:rFonts w:ascii="Ubuntu Light" w:hAnsi="Ubuntu Light" w:cs="Ubuntu Light"/>
          <w:sz w:val="20"/>
          <w:szCs w:val="20"/>
        </w:rPr>
        <w:t>• If vomiting is a problem, the volume of enteral feeds should be reduced appropriately.</w:t>
      </w:r>
    </w:p>
    <w:p w:rsidR="006E7642" w:rsidRPr="006E7642" w:rsidRDefault="006E7642" w:rsidP="006E7642">
      <w:pPr>
        <w:autoSpaceDE w:val="0"/>
        <w:autoSpaceDN w:val="0"/>
        <w:adjustRightInd w:val="0"/>
        <w:spacing w:after="220" w:line="201" w:lineRule="atLeast"/>
        <w:ind w:left="220"/>
        <w:jc w:val="both"/>
        <w:rPr>
          <w:rFonts w:ascii="Ubuntu Light" w:hAnsi="Ubuntu Light" w:cs="Ubuntu Light"/>
          <w:sz w:val="20"/>
          <w:szCs w:val="20"/>
        </w:rPr>
      </w:pPr>
      <w:r w:rsidRPr="006E7642">
        <w:rPr>
          <w:rFonts w:ascii="Ubuntu Light" w:hAnsi="Ubuntu Light" w:cs="Ubuntu Light"/>
          <w:sz w:val="20"/>
          <w:szCs w:val="20"/>
        </w:rPr>
        <w:t>• It may be appropriate to allow the infant to suckle at the breast if able to do so.</w:t>
      </w:r>
    </w:p>
    <w:p w:rsidR="006E7642" w:rsidRPr="006E7642" w:rsidRDefault="006E7642" w:rsidP="006E7642">
      <w:pPr>
        <w:sectPr w:rsidR="006E7642" w:rsidRPr="006E7642">
          <w:pgSz w:w="11905" w:h="16837"/>
          <w:pgMar w:top="1400" w:right="900" w:bottom="0" w:left="900" w:header="720" w:footer="720" w:gutter="0"/>
          <w:cols w:space="720"/>
          <w:noEndnote/>
        </w:sectPr>
      </w:pPr>
      <w:r w:rsidRPr="006E7642">
        <w:rPr>
          <w:rFonts w:ascii="Ubuntu Light" w:hAnsi="Ubuntu Light" w:cs="Ubuntu Light"/>
          <w:sz w:val="20"/>
          <w:szCs w:val="20"/>
        </w:rPr>
        <w:t>• In those infants in whom the duration between the withdrawal of life-sustaining care and death is expected to be short, it is reasonable to cease all feeds if it is felt feeding could cause distress, and to discontinue intr</w:t>
      </w:r>
      <w:r w:rsidR="008F37A4">
        <w:rPr>
          <w:rFonts w:ascii="Ubuntu Light" w:hAnsi="Ubuntu Light" w:cs="Ubuntu Light"/>
          <w:sz w:val="20"/>
          <w:szCs w:val="20"/>
        </w:rPr>
        <w:t>avenous hydration an</w:t>
      </w:r>
    </w:p>
    <w:p w:rsidR="006E7642" w:rsidRPr="006E7642" w:rsidRDefault="006E7642" w:rsidP="006E7642">
      <w:pPr>
        <w:autoSpaceDE w:val="0"/>
        <w:autoSpaceDN w:val="0"/>
        <w:adjustRightInd w:val="0"/>
        <w:spacing w:after="220" w:line="201" w:lineRule="atLeast"/>
        <w:jc w:val="both"/>
        <w:rPr>
          <w:rFonts w:ascii="Ubuntu Light" w:hAnsi="Ubuntu Light"/>
          <w:sz w:val="20"/>
          <w:szCs w:val="20"/>
        </w:rPr>
      </w:pPr>
    </w:p>
    <w:sectPr w:rsidR="006E7642" w:rsidRPr="006E7642" w:rsidSect="00E435F9">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96F" w:rsidRDefault="001D496F" w:rsidP="007B6AB9">
      <w:pPr>
        <w:spacing w:after="0" w:line="240" w:lineRule="auto"/>
      </w:pPr>
      <w:r>
        <w:separator/>
      </w:r>
    </w:p>
  </w:endnote>
  <w:endnote w:type="continuationSeparator" w:id="0">
    <w:p w:rsidR="001D496F" w:rsidRDefault="001D496F" w:rsidP="007B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buntu Light">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96F" w:rsidRDefault="001D496F" w:rsidP="007B6AB9">
      <w:pPr>
        <w:spacing w:after="0" w:line="240" w:lineRule="auto"/>
      </w:pPr>
      <w:r>
        <w:separator/>
      </w:r>
    </w:p>
  </w:footnote>
  <w:footnote w:type="continuationSeparator" w:id="0">
    <w:p w:rsidR="001D496F" w:rsidRDefault="001D496F" w:rsidP="007B6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62E" w:rsidRPr="0016262E" w:rsidRDefault="008F37A4" w:rsidP="008F37A4">
    <w:pPr>
      <w:pStyle w:val="Header"/>
      <w:tabs>
        <w:tab w:val="clear" w:pos="4513"/>
        <w:tab w:val="clear" w:pos="9026"/>
        <w:tab w:val="left" w:pos="7575"/>
      </w:tabs>
      <w:rPr>
        <w:color w:val="1F497D" w:themeColor="text2"/>
      </w:rPr>
    </w:pPr>
    <w:r>
      <w:rPr>
        <w:noProof/>
      </w:rPr>
      <w:drawing>
        <wp:anchor distT="0" distB="0" distL="114300" distR="114300" simplePos="0" relativeHeight="251660800" behindDoc="0" locked="0" layoutInCell="1" allowOverlap="1">
          <wp:simplePos x="0" y="0"/>
          <wp:positionH relativeFrom="column">
            <wp:posOffset>5022850</wp:posOffset>
          </wp:positionH>
          <wp:positionV relativeFrom="paragraph">
            <wp:posOffset>-285750</wp:posOffset>
          </wp:positionV>
          <wp:extent cx="1438275" cy="542925"/>
          <wp:effectExtent l="0" t="0" r="9525" b="9525"/>
          <wp:wrapSquare wrapText="bothSides"/>
          <wp:docPr id="3" name="Pictur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8275" cy="542925"/>
                  </a:xfrm>
                  <a:prstGeom prst="rect">
                    <a:avLst/>
                  </a:prstGeom>
                  <a:noFill/>
                  <a:ln w="9525">
                    <a:noFill/>
                    <a:miter lim="800000"/>
                    <a:headEnd/>
                    <a:tailEnd/>
                  </a:ln>
                </pic:spPr>
              </pic:pic>
            </a:graphicData>
          </a:graphic>
          <wp14:sizeRelV relativeFrom="margin">
            <wp14:pctHeight>0</wp14:pctHeight>
          </wp14:sizeRelV>
        </wp:anchor>
      </w:drawing>
    </w:r>
    <w:r w:rsidR="0016262E" w:rsidRPr="0016262E">
      <w:rPr>
        <w:noProof/>
        <w:color w:val="1F497D" w:themeColor="text2"/>
        <w:lang w:eastAsia="en-GB"/>
      </w:rPr>
      <w:drawing>
        <wp:anchor distT="0" distB="0" distL="114300" distR="114300" simplePos="0" relativeHeight="251657728" behindDoc="0" locked="0" layoutInCell="1" allowOverlap="1" wp14:anchorId="54D0F89F" wp14:editId="6FDEDFAC">
          <wp:simplePos x="0" y="0"/>
          <wp:positionH relativeFrom="margin">
            <wp:align>left</wp:align>
          </wp:positionH>
          <wp:positionV relativeFrom="paragraph">
            <wp:posOffset>-342900</wp:posOffset>
          </wp:positionV>
          <wp:extent cx="571500" cy="688975"/>
          <wp:effectExtent l="0" t="0" r="0" b="0"/>
          <wp:wrapThrough wrapText="bothSides">
            <wp:wrapPolygon edited="0">
              <wp:start x="0" y="0"/>
              <wp:lineTo x="0" y="20903"/>
              <wp:lineTo x="20880" y="20903"/>
              <wp:lineTo x="2088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twork logo.jpg"/>
                  <pic:cNvPicPr/>
                </pic:nvPicPr>
                <pic:blipFill>
                  <a:blip r:embed="rId2">
                    <a:extLst>
                      <a:ext uri="{28A0092B-C50C-407E-A947-70E740481C1C}">
                        <a14:useLocalDpi xmlns:a14="http://schemas.microsoft.com/office/drawing/2010/main" val="0"/>
                      </a:ext>
                    </a:extLst>
                  </a:blip>
                  <a:stretch>
                    <a:fillRect/>
                  </a:stretch>
                </pic:blipFill>
                <pic:spPr>
                  <a:xfrm>
                    <a:off x="0" y="0"/>
                    <a:ext cx="571500" cy="688975"/>
                  </a:xfrm>
                  <a:prstGeom prst="rect">
                    <a:avLst/>
                  </a:prstGeom>
                </pic:spPr>
              </pic:pic>
            </a:graphicData>
          </a:graphic>
          <wp14:sizeRelH relativeFrom="margin">
            <wp14:pctWidth>0</wp14:pctWidth>
          </wp14:sizeRelH>
          <wp14:sizeRelV relativeFrom="margin">
            <wp14:pctHeight>0</wp14:pctHeight>
          </wp14:sizeRelV>
        </wp:anchor>
      </w:drawing>
    </w:r>
    <w:r w:rsidR="0016262E" w:rsidRPr="0016262E">
      <w:rPr>
        <w:color w:val="1F497D" w:themeColor="text2"/>
      </w:rPr>
      <w:t>ALL WALES PAEDIATRIC PALLIATIVE</w:t>
    </w:r>
    <w:r>
      <w:rPr>
        <w:color w:val="1F497D" w:themeColor="text2"/>
      </w:rPr>
      <w:tab/>
    </w:r>
    <w:r w:rsidR="0016262E" w:rsidRPr="0016262E">
      <w:rPr>
        <w:color w:val="1F497D" w:themeColor="text2"/>
      </w:rPr>
      <w:br/>
      <w:t xml:space="preserve">       CARE NETWORK</w:t>
    </w:r>
    <w:r w:rsidR="0016262E" w:rsidRPr="0016262E">
      <w:rPr>
        <w:color w:val="1F497D" w:themeColor="text2"/>
      </w:rPr>
      <w:ptab w:relativeTo="margin" w:alignment="center" w:leader="none"/>
    </w:r>
    <w:r w:rsidR="0016262E" w:rsidRPr="0016262E">
      <w:rPr>
        <w:color w:val="1F497D" w:themeColor="text2"/>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AB9" w:rsidRDefault="007B6AB9" w:rsidP="007B6AB9">
    <w:pPr>
      <w:pStyle w:val="Header"/>
      <w:ind w:firstLine="1440"/>
      <w:rPr>
        <w:rFonts w:ascii="Calibri-Bold" w:hAnsi="Calibri-Bold" w:cs="Calibri-Bold"/>
        <w:b/>
        <w:bCs/>
        <w:sz w:val="32"/>
        <w:szCs w:val="32"/>
      </w:rPr>
    </w:pPr>
    <w:r>
      <w:rPr>
        <w:noProof/>
        <w:lang w:eastAsia="en-GB"/>
      </w:rPr>
      <w:drawing>
        <wp:anchor distT="0" distB="0" distL="114300" distR="114300" simplePos="0" relativeHeight="251655680" behindDoc="0" locked="0" layoutInCell="1" allowOverlap="1">
          <wp:simplePos x="0" y="0"/>
          <wp:positionH relativeFrom="column">
            <wp:posOffset>5314315</wp:posOffset>
          </wp:positionH>
          <wp:positionV relativeFrom="paragraph">
            <wp:posOffset>-278130</wp:posOffset>
          </wp:positionV>
          <wp:extent cx="3335020" cy="876300"/>
          <wp:effectExtent l="0" t="0" r="0" b="0"/>
          <wp:wrapThrough wrapText="bothSides">
            <wp:wrapPolygon edited="0">
              <wp:start x="0" y="0"/>
              <wp:lineTo x="0" y="21130"/>
              <wp:lineTo x="21468" y="21130"/>
              <wp:lineTo x="2146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43hbbanner.jpg"/>
                  <pic:cNvPicPr/>
                </pic:nvPicPr>
                <pic:blipFill>
                  <a:blip r:embed="rId1">
                    <a:extLst>
                      <a:ext uri="{28A0092B-C50C-407E-A947-70E740481C1C}">
                        <a14:useLocalDpi xmlns:a14="http://schemas.microsoft.com/office/drawing/2010/main" val="0"/>
                      </a:ext>
                    </a:extLst>
                  </a:blip>
                  <a:stretch>
                    <a:fillRect/>
                  </a:stretch>
                </pic:blipFill>
                <pic:spPr>
                  <a:xfrm>
                    <a:off x="0" y="0"/>
                    <a:ext cx="3335020" cy="876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0" locked="0" layoutInCell="1" allowOverlap="1">
          <wp:simplePos x="0" y="0"/>
          <wp:positionH relativeFrom="column">
            <wp:posOffset>-514350</wp:posOffset>
          </wp:positionH>
          <wp:positionV relativeFrom="paragraph">
            <wp:posOffset>-230505</wp:posOffset>
          </wp:positionV>
          <wp:extent cx="1146810" cy="1383665"/>
          <wp:effectExtent l="0" t="0" r="0" b="0"/>
          <wp:wrapThrough wrapText="bothSides">
            <wp:wrapPolygon edited="0">
              <wp:start x="0" y="0"/>
              <wp:lineTo x="0" y="21412"/>
              <wp:lineTo x="21169" y="21412"/>
              <wp:lineTo x="2116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twork logo.jpg"/>
                  <pic:cNvPicPr/>
                </pic:nvPicPr>
                <pic:blipFill>
                  <a:blip r:embed="rId2">
                    <a:extLst>
                      <a:ext uri="{28A0092B-C50C-407E-A947-70E740481C1C}">
                        <a14:useLocalDpi xmlns:a14="http://schemas.microsoft.com/office/drawing/2010/main" val="0"/>
                      </a:ext>
                    </a:extLst>
                  </a:blip>
                  <a:stretch>
                    <a:fillRect/>
                  </a:stretch>
                </pic:blipFill>
                <pic:spPr>
                  <a:xfrm>
                    <a:off x="0" y="0"/>
                    <a:ext cx="1146810" cy="1383665"/>
                  </a:xfrm>
                  <a:prstGeom prst="rect">
                    <a:avLst/>
                  </a:prstGeom>
                </pic:spPr>
              </pic:pic>
            </a:graphicData>
          </a:graphic>
        </wp:anchor>
      </w:drawing>
    </w:r>
    <w:r>
      <w:rPr>
        <w:rFonts w:ascii="Calibri-Bold" w:hAnsi="Calibri-Bold" w:cs="Calibri-Bold"/>
        <w:b/>
        <w:bCs/>
        <w:sz w:val="28"/>
        <w:szCs w:val="28"/>
      </w:rPr>
      <w:t xml:space="preserve">All-Wales </w:t>
    </w:r>
    <w:r>
      <w:rPr>
        <w:rFonts w:ascii="Calibri-Bold" w:hAnsi="Calibri-Bold" w:cs="Calibri-Bold"/>
        <w:b/>
        <w:bCs/>
        <w:sz w:val="32"/>
        <w:szCs w:val="32"/>
      </w:rPr>
      <w:t xml:space="preserve">Paediatric </w:t>
    </w:r>
  </w:p>
  <w:p w:rsidR="007B6AB9" w:rsidRPr="007B6AB9" w:rsidRDefault="007B6AB9" w:rsidP="007B6AB9">
    <w:pPr>
      <w:pStyle w:val="Header"/>
      <w:rPr>
        <w:rFonts w:ascii="Calibri-Bold" w:hAnsi="Calibri-Bold" w:cs="Calibri-Bold"/>
        <w:b/>
        <w:bCs/>
        <w:sz w:val="32"/>
        <w:szCs w:val="32"/>
      </w:rPr>
    </w:pPr>
    <w:r>
      <w:rPr>
        <w:rFonts w:ascii="Calibri-Bold" w:hAnsi="Calibri-Bold" w:cs="Calibri-Bold"/>
        <w:b/>
        <w:bCs/>
        <w:sz w:val="32"/>
        <w:szCs w:val="32"/>
      </w:rPr>
      <w:t xml:space="preserve">                          Palliative Care </w:t>
    </w:r>
    <w:r>
      <w:rPr>
        <w:rFonts w:ascii="Calibri-Bold" w:hAnsi="Calibri-Bold" w:cs="Calibri-Bold"/>
        <w:b/>
        <w:bCs/>
        <w:sz w:val="28"/>
        <w:szCs w:val="28"/>
      </w:rPr>
      <w:t>Network</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B0A62B"/>
    <w:multiLevelType w:val="hybridMultilevel"/>
    <w:tmpl w:val="C66261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B9"/>
    <w:rsid w:val="000674E6"/>
    <w:rsid w:val="000C6D19"/>
    <w:rsid w:val="001369E0"/>
    <w:rsid w:val="0016262E"/>
    <w:rsid w:val="001D496F"/>
    <w:rsid w:val="002B72C7"/>
    <w:rsid w:val="002C39B6"/>
    <w:rsid w:val="0037531C"/>
    <w:rsid w:val="006A042D"/>
    <w:rsid w:val="006E7642"/>
    <w:rsid w:val="007B6AB9"/>
    <w:rsid w:val="00870C06"/>
    <w:rsid w:val="008F37A4"/>
    <w:rsid w:val="0091617F"/>
    <w:rsid w:val="00A610F6"/>
    <w:rsid w:val="00E168BE"/>
    <w:rsid w:val="00E43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4F670"/>
  <w15:chartTrackingRefBased/>
  <w15:docId w15:val="{BE15DF9F-81DF-42DF-B68C-75B16C82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42D"/>
  </w:style>
  <w:style w:type="paragraph" w:styleId="Heading2">
    <w:name w:val="heading 2"/>
    <w:basedOn w:val="Normal"/>
    <w:next w:val="Normal"/>
    <w:link w:val="Heading2Char"/>
    <w:uiPriority w:val="9"/>
    <w:unhideWhenUsed/>
    <w:qFormat/>
    <w:rsid w:val="002B72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AB9"/>
  </w:style>
  <w:style w:type="paragraph" w:styleId="Footer">
    <w:name w:val="footer"/>
    <w:basedOn w:val="Normal"/>
    <w:link w:val="FooterChar"/>
    <w:uiPriority w:val="99"/>
    <w:unhideWhenUsed/>
    <w:rsid w:val="007B6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AB9"/>
  </w:style>
  <w:style w:type="table" w:styleId="TableGrid">
    <w:name w:val="Table Grid"/>
    <w:basedOn w:val="TableNormal"/>
    <w:uiPriority w:val="59"/>
    <w:rsid w:val="007B6AB9"/>
    <w:pPr>
      <w:spacing w:after="0" w:line="240" w:lineRule="auto"/>
    </w:pPr>
    <w:rPr>
      <w:rFonts w:ascii="Arial" w:eastAsiaTheme="minorEastAsia" w:hAnsi="Arial" w:cs="Times New Roman"/>
      <w:sz w:val="20"/>
      <w:szCs w:val="20"/>
      <w:lang w:val="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B72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2C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B72C7"/>
    <w:rPr>
      <w:rFonts w:asciiTheme="majorHAnsi" w:eastAsiaTheme="majorEastAsia" w:hAnsiTheme="majorHAnsi" w:cstheme="majorBidi"/>
      <w:color w:val="365F91" w:themeColor="accent1" w:themeShade="BF"/>
      <w:sz w:val="26"/>
      <w:szCs w:val="26"/>
    </w:rPr>
  </w:style>
  <w:style w:type="table" w:styleId="GridTable4">
    <w:name w:val="Grid Table 4"/>
    <w:basedOn w:val="TableNormal"/>
    <w:uiPriority w:val="49"/>
    <w:rsid w:val="006E76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6E7642"/>
    <w:pPr>
      <w:autoSpaceDE w:val="0"/>
      <w:autoSpaceDN w:val="0"/>
      <w:adjustRightInd w:val="0"/>
      <w:spacing w:after="0" w:line="240" w:lineRule="auto"/>
    </w:pPr>
    <w:rPr>
      <w:rFonts w:ascii="Arial" w:hAnsi="Arial" w:cs="Arial"/>
      <w:color w:val="000000"/>
      <w:sz w:val="24"/>
      <w:szCs w:val="24"/>
    </w:rPr>
  </w:style>
  <w:style w:type="paragraph" w:customStyle="1" w:styleId="Pa29">
    <w:name w:val="Pa29"/>
    <w:basedOn w:val="Default"/>
    <w:next w:val="Default"/>
    <w:uiPriority w:val="99"/>
    <w:rsid w:val="006E7642"/>
    <w:pPr>
      <w:spacing w:line="201" w:lineRule="atLeast"/>
    </w:pPr>
    <w:rPr>
      <w:rFonts w:ascii="Ubuntu Light" w:hAnsi="Ubuntu Light" w:cstheme="minorBidi"/>
      <w:color w:val="auto"/>
    </w:rPr>
  </w:style>
  <w:style w:type="character" w:customStyle="1" w:styleId="A8">
    <w:name w:val="A8"/>
    <w:uiPriority w:val="99"/>
    <w:rsid w:val="006E7642"/>
    <w:rPr>
      <w:rFonts w:cs="Ubuntu Ligh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75829">
      <w:bodyDiv w:val="1"/>
      <w:marLeft w:val="0"/>
      <w:marRight w:val="0"/>
      <w:marTop w:val="0"/>
      <w:marBottom w:val="0"/>
      <w:divBdr>
        <w:top w:val="none" w:sz="0" w:space="0" w:color="auto"/>
        <w:left w:val="none" w:sz="0" w:space="0" w:color="auto"/>
        <w:bottom w:val="none" w:sz="0" w:space="0" w:color="auto"/>
        <w:right w:val="none" w:sz="0" w:space="0" w:color="auto"/>
      </w:divBdr>
    </w:div>
    <w:div w:id="59293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Griffiths (ABM ULHB - Child Health)</dc:creator>
  <cp:keywords/>
  <dc:description/>
  <cp:lastModifiedBy>Jo Griffiths</cp:lastModifiedBy>
  <cp:revision>2</cp:revision>
  <dcterms:created xsi:type="dcterms:W3CDTF">2019-01-30T14:43:00Z</dcterms:created>
  <dcterms:modified xsi:type="dcterms:W3CDTF">2019-01-30T14:43:00Z</dcterms:modified>
</cp:coreProperties>
</file>